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91D6C" w:rsidR="002E3FA8" w:rsidRDefault="005F28D9" w14:paraId="79E6AE93" w14:textId="77777777">
      <w:pPr>
        <w:jc w:val="center"/>
        <w:rPr>
          <w:rFonts w:cs="Arial"/>
          <w:sz w:val="24"/>
          <w:szCs w:val="24"/>
          <w:lang w:val="es-CO"/>
        </w:rPr>
      </w:pPr>
      <w:r w:rsidRPr="00191D6C">
        <w:rPr>
          <w:rFonts w:cs="Arial"/>
          <w:b/>
          <w:color w:val="1F3864"/>
          <w:sz w:val="24"/>
          <w:szCs w:val="24"/>
          <w:lang w:val="es-CO"/>
        </w:rPr>
        <w:t>ACTA DE RENDICIÓN DE CUENTAS</w:t>
      </w:r>
    </w:p>
    <w:p w:rsidRPr="00191D6C" w:rsidR="002E3FA8" w:rsidRDefault="005F28D9" w14:paraId="21C432E4" w14:textId="77777777">
      <w:pPr>
        <w:jc w:val="center"/>
        <w:rPr>
          <w:rFonts w:cs="Arial"/>
          <w:sz w:val="24"/>
          <w:szCs w:val="24"/>
          <w:lang w:val="es-CO"/>
        </w:rPr>
      </w:pPr>
      <w:r w:rsidRPr="00191D6C">
        <w:rPr>
          <w:rFonts w:cs="Arial"/>
          <w:b/>
          <w:color w:val="1F3864"/>
          <w:sz w:val="24"/>
          <w:szCs w:val="24"/>
          <w:lang w:val="es-CO"/>
        </w:rPr>
        <w:t>VIGENCIA 2025</w:t>
      </w:r>
    </w:p>
    <w:p w:rsidRPr="00191D6C" w:rsidR="002E3FA8" w:rsidRDefault="005F28D9" w14:paraId="7EE12778" w14:textId="77777777">
      <w:pPr>
        <w:jc w:val="center"/>
        <w:rPr>
          <w:rFonts w:cs="Arial"/>
          <w:sz w:val="24"/>
          <w:szCs w:val="24"/>
          <w:lang w:val="es-CO"/>
        </w:rPr>
      </w:pPr>
      <w:r w:rsidRPr="00191D6C">
        <w:rPr>
          <w:rFonts w:cs="Arial"/>
          <w:b/>
          <w:color w:val="4CAF50"/>
          <w:sz w:val="24"/>
          <w:szCs w:val="24"/>
          <w:lang w:val="es-CO"/>
        </w:rPr>
        <w:t>Red de Salud del Centro E.S.E.  —  NIT 805.027.261-3</w:t>
      </w:r>
    </w:p>
    <w:p w:rsidRPr="008922E6" w:rsidR="002E3FA8" w:rsidRDefault="002E3FA8" w14:paraId="1EB43436" w14:textId="77777777">
      <w:pPr>
        <w:rPr>
          <w:rFonts w:cs="Arial"/>
          <w:szCs w:val="20"/>
          <w:lang w:val="es-CO"/>
        </w:rPr>
      </w:pPr>
    </w:p>
    <w:p w:rsidRPr="008922E6" w:rsidR="002E3FA8" w:rsidRDefault="005F28D9" w14:paraId="0243BAC9" w14:textId="77777777">
      <w:pPr>
        <w:pBdr>
          <w:bottom w:val="single" w:color="2E5496" w:sz="6" w:space="2"/>
        </w:pBdr>
        <w:spacing w:before="200"/>
        <w:jc w:val="left"/>
        <w:rPr>
          <w:rFonts w:cs="Arial"/>
          <w:szCs w:val="20"/>
          <w:lang w:val="es-CO"/>
        </w:rPr>
      </w:pPr>
      <w:r w:rsidRPr="008922E6">
        <w:rPr>
          <w:rFonts w:cs="Arial"/>
          <w:b/>
          <w:color w:val="2E5496"/>
          <w:szCs w:val="20"/>
          <w:lang w:val="es-CO"/>
        </w:rPr>
        <w:t>1. INFORMACIÓN GENERAL DEL EVENTO</w:t>
      </w:r>
    </w:p>
    <w:tbl>
      <w:tblPr>
        <w:tblStyle w:val="TableGrid"/>
        <w:tblW w:w="0" w:type="auto"/>
        <w:jc w:val="center"/>
        <w:tblLook w:val="04A0" w:firstRow="1" w:lastRow="0" w:firstColumn="1" w:lastColumn="0" w:noHBand="0" w:noVBand="1"/>
      </w:tblPr>
      <w:tblGrid>
        <w:gridCol w:w="2304"/>
        <w:gridCol w:w="7344"/>
      </w:tblGrid>
      <w:tr w:rsidRPr="00846AFF" w:rsidR="002E3FA8" w14:paraId="35935DB4" w14:textId="77777777">
        <w:trPr>
          <w:jc w:val="center"/>
        </w:trPr>
        <w:tc>
          <w:tcPr>
            <w:tcW w:w="2304" w:type="dxa"/>
            <w:shd w:val="clear" w:color="auto" w:fill="D6E0F0"/>
          </w:tcPr>
          <w:p w:rsidRPr="006D1556" w:rsidR="002E3FA8" w:rsidRDefault="005F28D9" w14:paraId="7B616936" w14:textId="77777777">
            <w:pPr>
              <w:jc w:val="left"/>
              <w:rPr>
                <w:rFonts w:cs="Arial"/>
                <w:szCs w:val="20"/>
              </w:rPr>
            </w:pPr>
            <w:r w:rsidRPr="006D1556">
              <w:rPr>
                <w:rFonts w:cs="Arial"/>
                <w:b/>
                <w:szCs w:val="20"/>
              </w:rPr>
              <w:t xml:space="preserve">Tipo de </w:t>
            </w:r>
            <w:proofErr w:type="spellStart"/>
            <w:r w:rsidRPr="006D1556">
              <w:rPr>
                <w:rFonts w:cs="Arial"/>
                <w:b/>
                <w:szCs w:val="20"/>
              </w:rPr>
              <w:t>evento</w:t>
            </w:r>
            <w:proofErr w:type="spellEnd"/>
          </w:p>
        </w:tc>
        <w:tc>
          <w:tcPr>
            <w:tcW w:w="7344" w:type="dxa"/>
          </w:tcPr>
          <w:p w:rsidRPr="006D1556" w:rsidR="002E3FA8" w:rsidRDefault="005F28D9" w14:paraId="630E45A9" w14:textId="77777777">
            <w:pPr>
              <w:jc w:val="left"/>
              <w:rPr>
                <w:rFonts w:cs="Arial"/>
                <w:szCs w:val="20"/>
                <w:lang w:val="es-CO"/>
              </w:rPr>
            </w:pPr>
            <w:r w:rsidRPr="006D1556">
              <w:rPr>
                <w:rFonts w:cs="Arial"/>
                <w:szCs w:val="20"/>
                <w:lang w:val="es-CO"/>
              </w:rPr>
              <w:t>Audiencia Pública de Rendición de Cuentas – Vigencia 2025</w:t>
            </w:r>
          </w:p>
        </w:tc>
      </w:tr>
      <w:tr w:rsidRPr="00846AFF" w:rsidR="002E3FA8" w14:paraId="6F53E802" w14:textId="77777777">
        <w:trPr>
          <w:jc w:val="center"/>
        </w:trPr>
        <w:tc>
          <w:tcPr>
            <w:tcW w:w="2304" w:type="dxa"/>
            <w:shd w:val="clear" w:color="auto" w:fill="D6E0F0"/>
          </w:tcPr>
          <w:p w:rsidRPr="006D1556" w:rsidR="002E3FA8" w:rsidRDefault="005F28D9" w14:paraId="717E9F26" w14:textId="77777777">
            <w:pPr>
              <w:jc w:val="left"/>
              <w:rPr>
                <w:rFonts w:cs="Arial"/>
                <w:szCs w:val="20"/>
              </w:rPr>
            </w:pPr>
            <w:proofErr w:type="spellStart"/>
            <w:r w:rsidRPr="006D1556">
              <w:rPr>
                <w:rFonts w:cs="Arial"/>
                <w:b/>
                <w:szCs w:val="20"/>
              </w:rPr>
              <w:t>Entidad</w:t>
            </w:r>
            <w:proofErr w:type="spellEnd"/>
          </w:p>
        </w:tc>
        <w:tc>
          <w:tcPr>
            <w:tcW w:w="7344" w:type="dxa"/>
          </w:tcPr>
          <w:p w:rsidRPr="006D1556" w:rsidR="002E3FA8" w:rsidRDefault="005F28D9" w14:paraId="21AC7010" w14:textId="77777777">
            <w:pPr>
              <w:jc w:val="left"/>
              <w:rPr>
                <w:rFonts w:cs="Arial"/>
                <w:szCs w:val="20"/>
                <w:lang w:val="es-CO"/>
              </w:rPr>
            </w:pPr>
            <w:r w:rsidRPr="006D1556">
              <w:rPr>
                <w:rFonts w:cs="Arial"/>
                <w:szCs w:val="20"/>
                <w:lang w:val="es-CO"/>
              </w:rPr>
              <w:t>Red de Salud del Centro E.S.E.</w:t>
            </w:r>
          </w:p>
        </w:tc>
      </w:tr>
      <w:tr w:rsidRPr="006D1556" w:rsidR="002E3FA8" w14:paraId="20486D2F" w14:textId="77777777">
        <w:trPr>
          <w:jc w:val="center"/>
        </w:trPr>
        <w:tc>
          <w:tcPr>
            <w:tcW w:w="2304" w:type="dxa"/>
            <w:shd w:val="clear" w:color="auto" w:fill="D6E0F0"/>
          </w:tcPr>
          <w:p w:rsidRPr="006D1556" w:rsidR="002E3FA8" w:rsidRDefault="005F28D9" w14:paraId="00F87889" w14:textId="77777777">
            <w:pPr>
              <w:jc w:val="left"/>
              <w:rPr>
                <w:rFonts w:cs="Arial"/>
                <w:szCs w:val="20"/>
              </w:rPr>
            </w:pPr>
            <w:r w:rsidRPr="006D1556">
              <w:rPr>
                <w:rFonts w:cs="Arial"/>
                <w:b/>
                <w:szCs w:val="20"/>
              </w:rPr>
              <w:t>NIT</w:t>
            </w:r>
          </w:p>
        </w:tc>
        <w:tc>
          <w:tcPr>
            <w:tcW w:w="7344" w:type="dxa"/>
          </w:tcPr>
          <w:p w:rsidRPr="006D1556" w:rsidR="002E3FA8" w:rsidRDefault="005F28D9" w14:paraId="5734D125" w14:textId="77777777">
            <w:pPr>
              <w:jc w:val="left"/>
              <w:rPr>
                <w:rFonts w:cs="Arial"/>
                <w:szCs w:val="20"/>
              </w:rPr>
            </w:pPr>
            <w:r w:rsidRPr="006D1556">
              <w:rPr>
                <w:rFonts w:cs="Arial"/>
                <w:szCs w:val="20"/>
              </w:rPr>
              <w:t>805.027.261-3</w:t>
            </w:r>
          </w:p>
        </w:tc>
      </w:tr>
      <w:tr w:rsidRPr="006D1556" w:rsidR="002E3FA8" w14:paraId="3150D912" w14:textId="77777777">
        <w:trPr>
          <w:jc w:val="center"/>
        </w:trPr>
        <w:tc>
          <w:tcPr>
            <w:tcW w:w="2304" w:type="dxa"/>
            <w:shd w:val="clear" w:color="auto" w:fill="D6E0F0"/>
          </w:tcPr>
          <w:p w:rsidRPr="006D1556" w:rsidR="002E3FA8" w:rsidRDefault="005F28D9" w14:paraId="159162DE" w14:textId="77777777">
            <w:pPr>
              <w:jc w:val="left"/>
              <w:rPr>
                <w:rFonts w:cs="Arial"/>
                <w:szCs w:val="20"/>
              </w:rPr>
            </w:pPr>
            <w:r w:rsidRPr="006D1556">
              <w:rPr>
                <w:rFonts w:cs="Arial"/>
                <w:b/>
                <w:szCs w:val="20"/>
              </w:rPr>
              <w:t>Fecha</w:t>
            </w:r>
          </w:p>
        </w:tc>
        <w:tc>
          <w:tcPr>
            <w:tcW w:w="7344" w:type="dxa"/>
          </w:tcPr>
          <w:p w:rsidRPr="006D1556" w:rsidR="002E3FA8" w:rsidRDefault="005F28D9" w14:paraId="058A9A5F" w14:textId="77777777">
            <w:pPr>
              <w:jc w:val="left"/>
              <w:rPr>
                <w:rFonts w:cs="Arial"/>
                <w:szCs w:val="20"/>
              </w:rPr>
            </w:pPr>
            <w:r w:rsidRPr="006D1556">
              <w:rPr>
                <w:rFonts w:cs="Arial"/>
                <w:szCs w:val="20"/>
              </w:rPr>
              <w:t>Miércoles 27 de mayo de 2026</w:t>
            </w:r>
          </w:p>
        </w:tc>
      </w:tr>
      <w:tr w:rsidRPr="006D1556" w:rsidR="002E3FA8" w14:paraId="145D056A" w14:textId="77777777">
        <w:trPr>
          <w:jc w:val="center"/>
        </w:trPr>
        <w:tc>
          <w:tcPr>
            <w:tcW w:w="2304" w:type="dxa"/>
            <w:shd w:val="clear" w:color="auto" w:fill="D6E0F0"/>
          </w:tcPr>
          <w:p w:rsidRPr="006D1556" w:rsidR="002E3FA8" w:rsidRDefault="005F28D9" w14:paraId="05A467FA" w14:textId="77777777">
            <w:pPr>
              <w:jc w:val="left"/>
              <w:rPr>
                <w:rFonts w:cs="Arial"/>
                <w:szCs w:val="20"/>
              </w:rPr>
            </w:pPr>
            <w:r w:rsidRPr="006D1556">
              <w:rPr>
                <w:rFonts w:cs="Arial"/>
                <w:b/>
                <w:szCs w:val="20"/>
              </w:rPr>
              <w:t>Hora de inicio</w:t>
            </w:r>
          </w:p>
        </w:tc>
        <w:tc>
          <w:tcPr>
            <w:tcW w:w="7344" w:type="dxa"/>
          </w:tcPr>
          <w:p w:rsidRPr="006D1556" w:rsidR="002E3FA8" w:rsidRDefault="005F28D9" w14:paraId="0F358C88" w14:textId="77777777">
            <w:pPr>
              <w:jc w:val="left"/>
              <w:rPr>
                <w:rFonts w:cs="Arial"/>
                <w:szCs w:val="20"/>
              </w:rPr>
            </w:pPr>
            <w:r w:rsidRPr="006D1556">
              <w:rPr>
                <w:rFonts w:cs="Arial"/>
                <w:szCs w:val="20"/>
              </w:rPr>
              <w:t>2:00 p.m.</w:t>
            </w:r>
          </w:p>
        </w:tc>
      </w:tr>
      <w:tr w:rsidRPr="00846AFF" w:rsidR="002E3FA8" w14:paraId="02225794" w14:textId="77777777">
        <w:trPr>
          <w:jc w:val="center"/>
        </w:trPr>
        <w:tc>
          <w:tcPr>
            <w:tcW w:w="2304" w:type="dxa"/>
            <w:shd w:val="clear" w:color="auto" w:fill="D6E0F0"/>
          </w:tcPr>
          <w:p w:rsidRPr="006D1556" w:rsidR="002E3FA8" w:rsidRDefault="005F28D9" w14:paraId="4FA57C56" w14:textId="77777777">
            <w:pPr>
              <w:jc w:val="left"/>
              <w:rPr>
                <w:rFonts w:cs="Arial"/>
                <w:szCs w:val="20"/>
              </w:rPr>
            </w:pPr>
            <w:r w:rsidRPr="006D1556">
              <w:rPr>
                <w:rFonts w:cs="Arial"/>
                <w:b/>
                <w:szCs w:val="20"/>
              </w:rPr>
              <w:t>Modalidad</w:t>
            </w:r>
          </w:p>
        </w:tc>
        <w:tc>
          <w:tcPr>
            <w:tcW w:w="7344" w:type="dxa"/>
          </w:tcPr>
          <w:p w:rsidRPr="006D1556" w:rsidR="002E3FA8" w:rsidRDefault="005F28D9" w14:paraId="1A9FDE5D" w14:textId="77777777">
            <w:pPr>
              <w:jc w:val="left"/>
              <w:rPr>
                <w:rFonts w:cs="Arial"/>
                <w:szCs w:val="20"/>
                <w:lang w:val="es-CO"/>
              </w:rPr>
            </w:pPr>
            <w:r w:rsidRPr="006D1556">
              <w:rPr>
                <w:rFonts w:cs="Arial"/>
                <w:szCs w:val="20"/>
                <w:lang w:val="es-CO"/>
              </w:rPr>
              <w:t>Se llevó a cabo de manera simultánea en modalidad mixta, garantizando la mayor participación posible de la ciudadanía.</w:t>
            </w:r>
          </w:p>
        </w:tc>
      </w:tr>
      <w:tr w:rsidRPr="00846AFF" w:rsidR="002E3FA8" w14:paraId="263DEFB8" w14:textId="77777777">
        <w:trPr>
          <w:jc w:val="center"/>
        </w:trPr>
        <w:tc>
          <w:tcPr>
            <w:tcW w:w="2304" w:type="dxa"/>
            <w:shd w:val="clear" w:color="auto" w:fill="D6E0F0"/>
          </w:tcPr>
          <w:p w:rsidRPr="006D1556" w:rsidR="002E3FA8" w:rsidRDefault="005F28D9" w14:paraId="7A86684F" w14:textId="77777777">
            <w:pPr>
              <w:jc w:val="left"/>
              <w:rPr>
                <w:rFonts w:cs="Arial"/>
                <w:szCs w:val="20"/>
              </w:rPr>
            </w:pPr>
            <w:r w:rsidRPr="006D1556">
              <w:rPr>
                <w:rFonts w:cs="Arial"/>
                <w:b/>
                <w:szCs w:val="20"/>
              </w:rPr>
              <w:t>Lugar</w:t>
            </w:r>
          </w:p>
        </w:tc>
        <w:tc>
          <w:tcPr>
            <w:tcW w:w="7344" w:type="dxa"/>
          </w:tcPr>
          <w:p w:rsidRPr="006D1556" w:rsidR="002E3FA8" w:rsidRDefault="005F28D9" w14:paraId="115C8A9A" w14:textId="77777777">
            <w:pPr>
              <w:jc w:val="left"/>
              <w:rPr>
                <w:rFonts w:cs="Arial"/>
                <w:szCs w:val="20"/>
                <w:lang w:val="es-CO"/>
              </w:rPr>
            </w:pPr>
            <w:r w:rsidRPr="006D1556">
              <w:rPr>
                <w:rFonts w:cs="Arial"/>
                <w:szCs w:val="20"/>
                <w:lang w:val="es-CO"/>
              </w:rPr>
              <w:t>IPS Obrero – Santiago de Cali</w:t>
            </w:r>
          </w:p>
        </w:tc>
      </w:tr>
      <w:tr w:rsidRPr="00846AFF" w:rsidR="002E3FA8" w14:paraId="7CCD7BBD" w14:textId="77777777">
        <w:trPr>
          <w:jc w:val="center"/>
        </w:trPr>
        <w:tc>
          <w:tcPr>
            <w:tcW w:w="2304" w:type="dxa"/>
            <w:shd w:val="clear" w:color="auto" w:fill="D6E0F0"/>
          </w:tcPr>
          <w:p w:rsidRPr="006D1556" w:rsidR="002E3FA8" w:rsidRDefault="005F28D9" w14:paraId="31221B0B" w14:textId="77777777">
            <w:pPr>
              <w:jc w:val="left"/>
              <w:rPr>
                <w:rFonts w:cs="Arial"/>
                <w:szCs w:val="20"/>
              </w:rPr>
            </w:pPr>
            <w:proofErr w:type="spellStart"/>
            <w:r w:rsidRPr="006D1556">
              <w:rPr>
                <w:rFonts w:cs="Arial"/>
                <w:b/>
                <w:szCs w:val="20"/>
              </w:rPr>
              <w:t>Transmisión</w:t>
            </w:r>
            <w:proofErr w:type="spellEnd"/>
          </w:p>
        </w:tc>
        <w:tc>
          <w:tcPr>
            <w:tcW w:w="7344" w:type="dxa"/>
          </w:tcPr>
          <w:p w:rsidRPr="006D1556" w:rsidR="002E3FA8" w:rsidRDefault="005F28D9" w14:paraId="04744D7E" w14:textId="77777777">
            <w:pPr>
              <w:jc w:val="left"/>
              <w:rPr>
                <w:rFonts w:cs="Arial"/>
                <w:szCs w:val="20"/>
                <w:lang w:val="es-CO"/>
              </w:rPr>
            </w:pPr>
            <w:r w:rsidRPr="006D1556">
              <w:rPr>
                <w:rFonts w:cs="Arial"/>
                <w:szCs w:val="20"/>
                <w:lang w:val="es-CO"/>
              </w:rPr>
              <w:t>La jornada fue transmitida en tiempo real a través de Facebook Live en el perfil oficial de la entidad, lo que permitió que la comunidad que no pudo asistir presencialmente tuviera acceso a la información, pudiera seguir las presentaciones y participar activamente desde cualquier lugar. https://www.facebook.com/redcentrocali/?locale=es_LA</w:t>
            </w:r>
          </w:p>
        </w:tc>
      </w:tr>
    </w:tbl>
    <w:p w:rsidRPr="006D1556" w:rsidR="002E3FA8" w:rsidRDefault="005F28D9" w14:paraId="7210FEDD" w14:textId="77777777">
      <w:pPr>
        <w:pBdr>
          <w:bottom w:val="single" w:color="2E5496" w:sz="6" w:space="2"/>
        </w:pBdr>
        <w:spacing w:before="200"/>
        <w:jc w:val="left"/>
        <w:rPr>
          <w:rFonts w:cs="Arial"/>
          <w:szCs w:val="20"/>
          <w:lang w:val="es-CO"/>
        </w:rPr>
      </w:pPr>
      <w:r w:rsidRPr="006D1556">
        <w:rPr>
          <w:rFonts w:cs="Arial"/>
          <w:b/>
          <w:color w:val="2E5496"/>
          <w:szCs w:val="20"/>
          <w:lang w:val="es-CO"/>
        </w:rPr>
        <w:t>2. PARTICIPANTES – MESA DIRECTIVA Y PONENTES</w:t>
      </w:r>
    </w:p>
    <w:p w:rsidRPr="006D1556" w:rsidR="002E3FA8" w:rsidRDefault="005F28D9" w14:paraId="110E5235" w14:textId="77777777">
      <w:pPr>
        <w:rPr>
          <w:rFonts w:cs="Arial"/>
          <w:szCs w:val="20"/>
          <w:lang w:val="es-CO"/>
        </w:rPr>
      </w:pPr>
      <w:r w:rsidRPr="006D1556">
        <w:rPr>
          <w:rFonts w:cs="Arial"/>
          <w:szCs w:val="20"/>
          <w:lang w:val="es-CO"/>
        </w:rPr>
        <w:t>La Mesa Directiva del evento estuvo conformada por los siguientes funcionarios de la Red de Salud del Centro E.S.E.:</w:t>
      </w:r>
    </w:p>
    <w:tbl>
      <w:tblPr>
        <w:tblStyle w:val="TableGrid"/>
        <w:tblW w:w="0" w:type="auto"/>
        <w:jc w:val="center"/>
        <w:tblLook w:val="04A0" w:firstRow="1" w:lastRow="0" w:firstColumn="1" w:lastColumn="0" w:noHBand="0" w:noVBand="1"/>
      </w:tblPr>
      <w:tblGrid>
        <w:gridCol w:w="3312"/>
        <w:gridCol w:w="6336"/>
      </w:tblGrid>
      <w:tr w:rsidRPr="00846AFF" w:rsidR="002E3FA8" w14:paraId="6287D29B" w14:textId="77777777">
        <w:trPr>
          <w:jc w:val="center"/>
        </w:trPr>
        <w:tc>
          <w:tcPr>
            <w:tcW w:w="3312" w:type="dxa"/>
            <w:shd w:val="clear" w:color="auto" w:fill="1F3864"/>
          </w:tcPr>
          <w:p w:rsidRPr="006D1556" w:rsidR="002E3FA8" w:rsidRDefault="005F28D9" w14:paraId="6D7480B6" w14:textId="77777777">
            <w:pPr>
              <w:jc w:val="center"/>
              <w:rPr>
                <w:rFonts w:cs="Arial"/>
                <w:szCs w:val="20"/>
              </w:rPr>
            </w:pPr>
            <w:r w:rsidRPr="006D1556">
              <w:rPr>
                <w:rFonts w:cs="Arial"/>
                <w:b/>
                <w:color w:val="FFFFFF"/>
                <w:szCs w:val="20"/>
              </w:rPr>
              <w:t>NOMBRE</w:t>
            </w:r>
          </w:p>
        </w:tc>
        <w:tc>
          <w:tcPr>
            <w:tcW w:w="6336" w:type="dxa"/>
            <w:shd w:val="clear" w:color="auto" w:fill="1F3864"/>
          </w:tcPr>
          <w:p w:rsidRPr="006D1556" w:rsidR="002E3FA8" w:rsidRDefault="005F28D9" w14:paraId="297AAE92" w14:textId="77777777">
            <w:pPr>
              <w:jc w:val="center"/>
              <w:rPr>
                <w:rFonts w:cs="Arial"/>
                <w:szCs w:val="20"/>
                <w:lang w:val="es-CO"/>
              </w:rPr>
            </w:pPr>
            <w:r w:rsidRPr="006D1556">
              <w:rPr>
                <w:rFonts w:cs="Arial"/>
                <w:b/>
                <w:color w:val="FFFFFF"/>
                <w:szCs w:val="20"/>
                <w:lang w:val="es-CO"/>
              </w:rPr>
              <w:t>CARGO / ROL EN EL EVENTO</w:t>
            </w:r>
          </w:p>
        </w:tc>
      </w:tr>
      <w:tr w:rsidRPr="00846AFF" w:rsidR="002E3FA8" w14:paraId="58092613" w14:textId="77777777">
        <w:trPr>
          <w:jc w:val="center"/>
        </w:trPr>
        <w:tc>
          <w:tcPr>
            <w:tcW w:w="3312" w:type="dxa"/>
          </w:tcPr>
          <w:p w:rsidRPr="006D1556" w:rsidR="002E3FA8" w:rsidRDefault="005F28D9" w14:paraId="0FA76DA9" w14:textId="77777777">
            <w:pPr>
              <w:jc w:val="left"/>
              <w:rPr>
                <w:rFonts w:cs="Arial"/>
                <w:szCs w:val="20"/>
              </w:rPr>
            </w:pPr>
            <w:r w:rsidRPr="006D1556">
              <w:rPr>
                <w:rFonts w:cs="Arial"/>
                <w:szCs w:val="20"/>
              </w:rPr>
              <w:t>Dra. Natali Mosquera Narváez</w:t>
            </w:r>
          </w:p>
        </w:tc>
        <w:tc>
          <w:tcPr>
            <w:tcW w:w="6336" w:type="dxa"/>
          </w:tcPr>
          <w:p w:rsidRPr="006D1556" w:rsidR="002E3FA8" w:rsidRDefault="005F28D9" w14:paraId="2526AEB5" w14:textId="77777777">
            <w:pPr>
              <w:jc w:val="left"/>
              <w:rPr>
                <w:rFonts w:cs="Arial"/>
                <w:szCs w:val="20"/>
                <w:lang w:val="es-CO"/>
              </w:rPr>
            </w:pPr>
            <w:r w:rsidRPr="006D1556">
              <w:rPr>
                <w:rFonts w:cs="Arial"/>
                <w:szCs w:val="20"/>
                <w:lang w:val="es-CO"/>
              </w:rPr>
              <w:t>Gerente Red de Salud del Centro – Bienvenida y apertura del evento</w:t>
            </w:r>
          </w:p>
        </w:tc>
      </w:tr>
      <w:tr w:rsidRPr="00846AFF" w:rsidR="002E3FA8" w14:paraId="72F61FF7" w14:textId="77777777">
        <w:trPr>
          <w:jc w:val="center"/>
        </w:trPr>
        <w:tc>
          <w:tcPr>
            <w:tcW w:w="3312" w:type="dxa"/>
          </w:tcPr>
          <w:p w:rsidRPr="006D1556" w:rsidR="002E3FA8" w:rsidRDefault="005F28D9" w14:paraId="72069C50" w14:textId="7F077D61">
            <w:pPr>
              <w:jc w:val="left"/>
              <w:rPr>
                <w:rFonts w:cs="Arial"/>
                <w:szCs w:val="20"/>
              </w:rPr>
            </w:pPr>
            <w:r w:rsidRPr="006D1556">
              <w:rPr>
                <w:rFonts w:cs="Arial"/>
                <w:szCs w:val="20"/>
              </w:rPr>
              <w:t>Dr. Jhon F</w:t>
            </w:r>
            <w:r w:rsidRPr="006D1556" w:rsidR="00137D2A">
              <w:rPr>
                <w:rFonts w:cs="Arial"/>
                <w:szCs w:val="20"/>
              </w:rPr>
              <w:t>a</w:t>
            </w:r>
            <w:r w:rsidRPr="006D1556">
              <w:rPr>
                <w:rFonts w:cs="Arial"/>
                <w:szCs w:val="20"/>
              </w:rPr>
              <w:t>ber Ramírez</w:t>
            </w:r>
          </w:p>
        </w:tc>
        <w:tc>
          <w:tcPr>
            <w:tcW w:w="6336" w:type="dxa"/>
          </w:tcPr>
          <w:p w:rsidRPr="006D1556" w:rsidR="002E3FA8" w:rsidRDefault="005F28D9" w14:paraId="02A79B1C" w14:textId="77777777">
            <w:pPr>
              <w:jc w:val="left"/>
              <w:rPr>
                <w:rFonts w:cs="Arial"/>
                <w:szCs w:val="20"/>
                <w:lang w:val="es-CO"/>
              </w:rPr>
            </w:pPr>
            <w:r w:rsidRPr="006D1556">
              <w:rPr>
                <w:rFonts w:cs="Arial"/>
                <w:szCs w:val="20"/>
                <w:lang w:val="es-CO"/>
              </w:rPr>
              <w:t>Subgerente Científico – Ponente: producción de servicios de salud, calidad e indicadores clínicos</w:t>
            </w:r>
          </w:p>
        </w:tc>
      </w:tr>
      <w:tr w:rsidRPr="00846AFF" w:rsidR="002E3FA8" w14:paraId="101ED30D" w14:textId="77777777">
        <w:trPr>
          <w:jc w:val="center"/>
        </w:trPr>
        <w:tc>
          <w:tcPr>
            <w:tcW w:w="3312" w:type="dxa"/>
          </w:tcPr>
          <w:p w:rsidRPr="006D1556" w:rsidR="002E3FA8" w:rsidRDefault="005F28D9" w14:paraId="673539AC" w14:textId="77777777">
            <w:pPr>
              <w:jc w:val="left"/>
              <w:rPr>
                <w:rFonts w:cs="Arial"/>
                <w:szCs w:val="20"/>
              </w:rPr>
            </w:pPr>
            <w:r w:rsidRPr="006D1556">
              <w:rPr>
                <w:rFonts w:cs="Arial"/>
                <w:szCs w:val="20"/>
              </w:rPr>
              <w:t>Dra. Ángela Calero Manco</w:t>
            </w:r>
          </w:p>
        </w:tc>
        <w:tc>
          <w:tcPr>
            <w:tcW w:w="6336" w:type="dxa"/>
          </w:tcPr>
          <w:p w:rsidRPr="006D1556" w:rsidR="002E3FA8" w:rsidRDefault="005F28D9" w14:paraId="7FF25E76" w14:textId="77777777">
            <w:pPr>
              <w:jc w:val="left"/>
              <w:rPr>
                <w:rFonts w:cs="Arial"/>
                <w:szCs w:val="20"/>
                <w:lang w:val="es-CO"/>
              </w:rPr>
            </w:pPr>
            <w:r w:rsidRPr="006D1556">
              <w:rPr>
                <w:rFonts w:cs="Arial"/>
                <w:szCs w:val="20"/>
                <w:lang w:val="es-CO"/>
              </w:rPr>
              <w:t>Subgerente Administrativa – Ponente: gestión administrativa y financiera</w:t>
            </w:r>
          </w:p>
        </w:tc>
      </w:tr>
      <w:tr w:rsidRPr="00846AFF" w:rsidR="002E3FA8" w14:paraId="5A06FF7A" w14:textId="77777777">
        <w:trPr>
          <w:jc w:val="center"/>
        </w:trPr>
        <w:tc>
          <w:tcPr>
            <w:tcW w:w="3312" w:type="dxa"/>
          </w:tcPr>
          <w:p w:rsidRPr="006D1556" w:rsidR="002E3FA8" w:rsidRDefault="005F28D9" w14:paraId="099348B5" w14:textId="77777777">
            <w:pPr>
              <w:jc w:val="left"/>
              <w:rPr>
                <w:rFonts w:cs="Arial"/>
                <w:szCs w:val="20"/>
                <w:lang w:val="es-CO"/>
              </w:rPr>
            </w:pPr>
            <w:r w:rsidRPr="006D1556">
              <w:rPr>
                <w:rFonts w:cs="Arial"/>
                <w:szCs w:val="20"/>
                <w:lang w:val="es-CO"/>
              </w:rPr>
              <w:t>Dra. Nancy Johana Deaza Hernández</w:t>
            </w:r>
          </w:p>
        </w:tc>
        <w:tc>
          <w:tcPr>
            <w:tcW w:w="6336" w:type="dxa"/>
          </w:tcPr>
          <w:p w:rsidRPr="006D1556" w:rsidR="002E3FA8" w:rsidRDefault="005F28D9" w14:paraId="7258F6F5" w14:textId="77777777">
            <w:pPr>
              <w:jc w:val="left"/>
              <w:rPr>
                <w:rFonts w:cs="Arial"/>
                <w:szCs w:val="20"/>
                <w:lang w:val="es-CO"/>
              </w:rPr>
            </w:pPr>
            <w:r w:rsidRPr="006D1556">
              <w:rPr>
                <w:rFonts w:cs="Arial"/>
                <w:szCs w:val="20"/>
                <w:lang w:val="es-CO"/>
              </w:rPr>
              <w:t>Líder de Gestión de Planeación Institucional – Ponente: Informe de planeación institucional e informe de la Subgerencia de Promoción y Mantenimiento de la Salud</w:t>
            </w:r>
          </w:p>
        </w:tc>
      </w:tr>
      <w:tr w:rsidRPr="00846AFF" w:rsidR="002E3FA8" w14:paraId="49649CB9" w14:textId="77777777">
        <w:trPr>
          <w:jc w:val="center"/>
        </w:trPr>
        <w:tc>
          <w:tcPr>
            <w:tcW w:w="3312" w:type="dxa"/>
          </w:tcPr>
          <w:p w:rsidRPr="006D1556" w:rsidR="002E3FA8" w:rsidRDefault="005F28D9" w14:paraId="5983C981" w14:textId="77777777">
            <w:pPr>
              <w:jc w:val="left"/>
              <w:rPr>
                <w:rFonts w:cs="Arial"/>
                <w:szCs w:val="20"/>
              </w:rPr>
            </w:pPr>
            <w:r w:rsidRPr="006D1556">
              <w:rPr>
                <w:rFonts w:cs="Arial"/>
                <w:szCs w:val="20"/>
              </w:rPr>
              <w:t>Luisa Fernanda Cruz</w:t>
            </w:r>
          </w:p>
        </w:tc>
        <w:tc>
          <w:tcPr>
            <w:tcW w:w="6336" w:type="dxa"/>
          </w:tcPr>
          <w:p w:rsidRPr="006D1556" w:rsidR="002E3FA8" w:rsidRDefault="005F28D9" w14:paraId="2FD64011" w14:textId="77777777">
            <w:pPr>
              <w:jc w:val="left"/>
              <w:rPr>
                <w:rFonts w:cs="Arial"/>
                <w:szCs w:val="20"/>
                <w:lang w:val="es-CO"/>
              </w:rPr>
            </w:pPr>
            <w:r w:rsidRPr="006D1556">
              <w:rPr>
                <w:rFonts w:cs="Arial"/>
                <w:szCs w:val="20"/>
                <w:lang w:val="es-CO"/>
              </w:rPr>
              <w:t>Líder Proceso Relación con el Ciudadano – Estrategia de difusión y participación ciudadana</w:t>
            </w:r>
          </w:p>
        </w:tc>
      </w:tr>
      <w:tr w:rsidRPr="00846AFF" w:rsidR="002E3FA8" w14:paraId="532CC089" w14:textId="77777777">
        <w:trPr>
          <w:jc w:val="center"/>
        </w:trPr>
        <w:tc>
          <w:tcPr>
            <w:tcW w:w="3312" w:type="dxa"/>
          </w:tcPr>
          <w:p w:rsidRPr="006D1556" w:rsidR="002E3FA8" w:rsidRDefault="005F28D9" w14:paraId="33DD492A" w14:textId="77777777">
            <w:pPr>
              <w:jc w:val="left"/>
              <w:rPr>
                <w:rFonts w:cs="Arial"/>
                <w:szCs w:val="20"/>
              </w:rPr>
            </w:pPr>
            <w:r w:rsidRPr="006D1556">
              <w:rPr>
                <w:rFonts w:cs="Arial"/>
                <w:szCs w:val="20"/>
              </w:rPr>
              <w:t>Catalina Duarte</w:t>
            </w:r>
          </w:p>
        </w:tc>
        <w:tc>
          <w:tcPr>
            <w:tcW w:w="6336" w:type="dxa"/>
          </w:tcPr>
          <w:p w:rsidRPr="006D1556" w:rsidR="002E3FA8" w:rsidRDefault="005F28D9" w14:paraId="4B4C8F92" w14:textId="77777777">
            <w:pPr>
              <w:jc w:val="left"/>
              <w:rPr>
                <w:rFonts w:cs="Arial"/>
                <w:szCs w:val="20"/>
                <w:lang w:val="es-CO"/>
              </w:rPr>
            </w:pPr>
            <w:r w:rsidRPr="006D1556">
              <w:rPr>
                <w:rFonts w:cs="Arial"/>
                <w:szCs w:val="20"/>
                <w:lang w:val="es-CO"/>
              </w:rPr>
              <w:t>Líder de Comunicaciones – Moderadora de las intervenciones y preguntas</w:t>
            </w:r>
          </w:p>
        </w:tc>
      </w:tr>
    </w:tbl>
    <w:p w:rsidRPr="006D1556" w:rsidR="002E3FA8" w:rsidRDefault="005F28D9" w14:paraId="76E32234" w14:textId="77777777">
      <w:pPr>
        <w:rPr>
          <w:rFonts w:cs="Arial"/>
          <w:szCs w:val="20"/>
          <w:lang w:val="es-CO"/>
        </w:rPr>
      </w:pPr>
      <w:r w:rsidRPr="006D1556">
        <w:rPr>
          <w:rFonts w:cs="Arial"/>
          <w:i/>
          <w:szCs w:val="20"/>
          <w:lang w:val="es-CO"/>
        </w:rPr>
        <w:t>Nota: El listado de asistentes digitales (ciudadanía, usuarios, líderes comunitarios y funcionarios) se consolida en el Formato de Registro de Asistencia anexo al presente documento, de conformidad con lo establecido en el Manual de Participación Ciudadana del DAFP.</w:t>
      </w:r>
    </w:p>
    <w:p w:rsidRPr="006D1556" w:rsidR="002E3FA8" w:rsidRDefault="005F28D9" w14:paraId="02A42E50" w14:textId="77777777">
      <w:pPr>
        <w:pBdr>
          <w:bottom w:val="single" w:color="2E5496" w:sz="6" w:space="2"/>
        </w:pBdr>
        <w:spacing w:before="200"/>
        <w:jc w:val="left"/>
        <w:rPr>
          <w:rFonts w:cs="Arial"/>
          <w:szCs w:val="20"/>
          <w:lang w:val="es-CO"/>
        </w:rPr>
      </w:pPr>
      <w:r w:rsidRPr="006D1556">
        <w:rPr>
          <w:rFonts w:cs="Arial"/>
          <w:b/>
          <w:color w:val="2E5496"/>
          <w:szCs w:val="20"/>
          <w:lang w:val="es-CO"/>
        </w:rPr>
        <w:t>3. DESARROLLO DEL EVENTO</w:t>
      </w:r>
    </w:p>
    <w:p w:rsidRPr="006D1556" w:rsidR="002E3FA8" w:rsidRDefault="005F28D9" w14:paraId="6F916BA1" w14:textId="77777777">
      <w:pPr>
        <w:spacing w:before="200"/>
        <w:jc w:val="left"/>
        <w:rPr>
          <w:rFonts w:cs="Arial"/>
          <w:szCs w:val="20"/>
          <w:lang w:val="es-CO"/>
        </w:rPr>
      </w:pPr>
      <w:r w:rsidRPr="006D1556">
        <w:rPr>
          <w:rFonts w:cs="Arial"/>
          <w:b/>
          <w:color w:val="2E5496"/>
          <w:szCs w:val="20"/>
          <w:lang w:val="es-CO"/>
        </w:rPr>
        <w:t>3.1 Apertura y Bienvenida</w:t>
      </w:r>
    </w:p>
    <w:p w:rsidRPr="006D1556" w:rsidR="002E3FA8" w:rsidRDefault="005F28D9" w14:paraId="38DB0503" w14:textId="77777777">
      <w:pPr>
        <w:rPr>
          <w:rFonts w:cs="Arial"/>
          <w:szCs w:val="20"/>
          <w:lang w:val="es-CO"/>
        </w:rPr>
      </w:pPr>
      <w:r w:rsidRPr="006D1556">
        <w:rPr>
          <w:rFonts w:cs="Arial"/>
          <w:szCs w:val="20"/>
          <w:lang w:val="es-CO"/>
        </w:rPr>
        <w:t>La Gerente Natali Mosquera Narváez, de la Red de Salud del Centro E.S.E., dio apertura oficial al evento a las 2:00 p.m. con un saludo de bienvenida dirigido a la comunidad, usuarios, líderes comunitarios y demás asistentes. En su intervención destacó el compromiso institucional con la transparencia, la participación ciudadana y la mejora continua de los servicios de salud, en concordancia con el lema institucional “Por una salud más cercana, con excelencia y amor”.</w:t>
      </w:r>
    </w:p>
    <w:p w:rsidRPr="006D1556" w:rsidR="002E3FA8" w:rsidRDefault="005F28D9" w14:paraId="455C28DE" w14:textId="77777777">
      <w:pPr>
        <w:spacing w:before="200"/>
        <w:jc w:val="left"/>
        <w:rPr>
          <w:rFonts w:cs="Arial"/>
          <w:szCs w:val="20"/>
          <w:lang w:val="es-CO"/>
        </w:rPr>
      </w:pPr>
      <w:r w:rsidRPr="006D1556">
        <w:rPr>
          <w:rFonts w:cs="Arial"/>
          <w:b/>
          <w:color w:val="2E5496"/>
          <w:szCs w:val="20"/>
          <w:lang w:val="es-CO"/>
        </w:rPr>
        <w:t>3.2 Presentación del Informe de Gestión – Vigencia 2025</w:t>
      </w:r>
    </w:p>
    <w:p w:rsidRPr="006D1556" w:rsidR="002E3FA8" w:rsidRDefault="005F28D9" w14:paraId="7B98B23F" w14:textId="77777777">
      <w:pPr>
        <w:rPr>
          <w:rFonts w:cs="Arial"/>
          <w:szCs w:val="20"/>
          <w:lang w:val="es-CO"/>
        </w:rPr>
      </w:pPr>
      <w:r w:rsidRPr="006D1556">
        <w:rPr>
          <w:rFonts w:cs="Arial"/>
          <w:szCs w:val="20"/>
          <w:lang w:val="es-CO"/>
        </w:rPr>
        <w:t>El informe de gestión fue presentado por los ponentes designados, abarcando los siguientes ejes temáticos:</w:t>
      </w:r>
    </w:p>
    <w:p w:rsidRPr="006D1556" w:rsidR="002E3FA8" w:rsidRDefault="005F28D9" w14:paraId="2BFB26C8" w14:textId="77777777">
      <w:pPr>
        <w:rPr>
          <w:rFonts w:cs="Arial"/>
          <w:szCs w:val="20"/>
          <w:lang w:val="es-CO"/>
        </w:rPr>
      </w:pPr>
      <w:r w:rsidRPr="006D1556">
        <w:rPr>
          <w:rFonts w:cs="Arial"/>
          <w:b/>
          <w:szCs w:val="20"/>
          <w:lang w:val="es-CO"/>
        </w:rPr>
        <w:t>Dra. Natali Mosquera Narváez — Gerente</w:t>
      </w:r>
    </w:p>
    <w:p w:rsidRPr="006D1556" w:rsidR="002E3FA8" w:rsidRDefault="005F28D9" w14:paraId="5D0B7EED" w14:textId="77777777">
      <w:pPr>
        <w:spacing w:after="60"/>
        <w:ind w:left="432"/>
        <w:rPr>
          <w:rFonts w:cs="Arial"/>
          <w:szCs w:val="20"/>
          <w:lang w:val="es-CO"/>
        </w:rPr>
      </w:pPr>
      <w:r w:rsidRPr="006D1556">
        <w:rPr>
          <w:rFonts w:cs="Arial"/>
          <w:szCs w:val="20"/>
          <w:lang w:val="es-CO"/>
        </w:rPr>
        <w:t xml:space="preserve">•  </w:t>
      </w:r>
      <w:r w:rsidRPr="006D1556">
        <w:rPr>
          <w:rFonts w:cs="Arial"/>
          <w:b/>
          <w:szCs w:val="20"/>
          <w:lang w:val="es-CO"/>
        </w:rPr>
        <w:t xml:space="preserve">Reseña histórica: </w:t>
      </w:r>
      <w:r w:rsidRPr="006D1556">
        <w:rPr>
          <w:rFonts w:cs="Arial"/>
          <w:szCs w:val="20"/>
          <w:lang w:val="es-CO"/>
        </w:rPr>
        <w:t>fundación como Empresa Social del Estado E.S.E. a través del Acuerdo 106 del Concejo Municipal (2003) mediante el cual se configuran las 6 E.S.E. en Santiago de Cali; se estructura la Red de Salud del Centro E.S.E. integrada por 16 IPS en cabeza del Hospital Básico Primitivo Iglesias E.S.E., con una trayectoria histórica de más de 68 años de historia.</w:t>
      </w:r>
    </w:p>
    <w:p w:rsidRPr="006D1556" w:rsidR="002E3FA8" w:rsidRDefault="005F28D9" w14:paraId="1D1133C0" w14:textId="77777777">
      <w:pPr>
        <w:spacing w:after="60"/>
        <w:rPr>
          <w:rFonts w:cs="Arial"/>
          <w:szCs w:val="20"/>
          <w:lang w:val="es-CO"/>
        </w:rPr>
      </w:pPr>
      <w:r w:rsidRPr="006D1556">
        <w:rPr>
          <w:rFonts w:cs="Arial"/>
          <w:b/>
          <w:szCs w:val="20"/>
          <w:lang w:val="es-CO"/>
        </w:rPr>
        <w:t>Socialización de la Plataforma Estratégica Institucional:</w:t>
      </w:r>
    </w:p>
    <w:p w:rsidRPr="006D1556" w:rsidR="002E3FA8" w:rsidRDefault="005F28D9" w14:paraId="37FB0493" w14:textId="77777777">
      <w:pPr>
        <w:spacing w:after="60"/>
        <w:ind w:left="432"/>
        <w:rPr>
          <w:rFonts w:cs="Arial"/>
          <w:szCs w:val="20"/>
          <w:lang w:val="es-CO"/>
        </w:rPr>
      </w:pPr>
      <w:r w:rsidRPr="006D1556">
        <w:rPr>
          <w:rFonts w:cs="Arial"/>
          <w:szCs w:val="20"/>
          <w:lang w:val="es-CO"/>
        </w:rPr>
        <w:t xml:space="preserve">•  </w:t>
      </w:r>
      <w:r w:rsidRPr="006D1556">
        <w:rPr>
          <w:rFonts w:cs="Arial"/>
          <w:b/>
          <w:szCs w:val="20"/>
          <w:lang w:val="es-CO"/>
        </w:rPr>
        <w:t xml:space="preserve">Misión: </w:t>
      </w:r>
      <w:r w:rsidRPr="006D1556">
        <w:rPr>
          <w:rFonts w:cs="Arial"/>
          <w:szCs w:val="20"/>
          <w:lang w:val="es-CO"/>
        </w:rPr>
        <w:t>Prestar servicios integrales de salud de nivel primario con calidad, calidez y talento humano calificado, mediante la innovación y mejora continua, con enfoque en el desarrollo sostenible para contribuir al bienestar de la población del Distrito de Santiago de Cali.</w:t>
      </w:r>
    </w:p>
    <w:p w:rsidRPr="006D1556" w:rsidR="002E3FA8" w:rsidRDefault="005F28D9" w14:paraId="33EB3B3E" w14:textId="77777777">
      <w:pPr>
        <w:spacing w:after="60"/>
        <w:ind w:left="432"/>
        <w:rPr>
          <w:rFonts w:cs="Arial"/>
          <w:szCs w:val="20"/>
          <w:lang w:val="es-CO"/>
        </w:rPr>
      </w:pPr>
      <w:r w:rsidRPr="006D1556">
        <w:rPr>
          <w:rFonts w:cs="Arial"/>
          <w:szCs w:val="20"/>
          <w:lang w:val="es-CO"/>
        </w:rPr>
        <w:t xml:space="preserve">•  </w:t>
      </w:r>
      <w:r w:rsidRPr="006D1556">
        <w:rPr>
          <w:rFonts w:cs="Arial"/>
          <w:b/>
          <w:szCs w:val="20"/>
          <w:lang w:val="es-CO"/>
        </w:rPr>
        <w:t xml:space="preserve">Visión: </w:t>
      </w:r>
      <w:r w:rsidRPr="006D1556">
        <w:rPr>
          <w:rFonts w:cs="Arial"/>
          <w:szCs w:val="20"/>
          <w:lang w:val="es-CO"/>
        </w:rPr>
        <w:t>Ser una empresa social del estado acreditada, destacada por la excelencia clínica y la humanización de la atención; orientada a la gestión del conocimiento, la innovación en salud y contribuyendo al bienestar de la comunidad del Distrito de Santiago de Cali.</w:t>
      </w:r>
    </w:p>
    <w:p w:rsidRPr="006D1556" w:rsidR="002E3FA8" w:rsidRDefault="005F28D9" w14:paraId="624C8A12" w14:textId="77777777">
      <w:pPr>
        <w:spacing w:after="60"/>
        <w:ind w:left="432"/>
        <w:rPr>
          <w:rFonts w:cs="Arial"/>
          <w:szCs w:val="20"/>
          <w:lang w:val="es-CO"/>
        </w:rPr>
      </w:pPr>
      <w:r w:rsidRPr="006D1556">
        <w:rPr>
          <w:rFonts w:cs="Arial"/>
          <w:szCs w:val="20"/>
          <w:lang w:val="es-CO"/>
        </w:rPr>
        <w:t xml:space="preserve">•  </w:t>
      </w:r>
      <w:r w:rsidRPr="006D1556">
        <w:rPr>
          <w:rFonts w:cs="Arial"/>
          <w:b/>
          <w:szCs w:val="20"/>
          <w:lang w:val="es-CO"/>
        </w:rPr>
        <w:t xml:space="preserve">Valores institucionales: </w:t>
      </w:r>
      <w:r w:rsidRPr="006D1556">
        <w:rPr>
          <w:rFonts w:cs="Arial"/>
          <w:szCs w:val="20"/>
          <w:lang w:val="es-CO"/>
        </w:rPr>
        <w:t>honestidad, respeto, compromiso, justicia, diligencia y participación.</w:t>
      </w:r>
    </w:p>
    <w:p w:rsidRPr="006D1556" w:rsidR="002E3FA8" w:rsidRDefault="005F28D9" w14:paraId="2D59B87F" w14:textId="77777777">
      <w:pPr>
        <w:spacing w:after="60"/>
        <w:ind w:left="432"/>
        <w:rPr>
          <w:rFonts w:cs="Arial"/>
          <w:szCs w:val="20"/>
          <w:lang w:val="es-CO"/>
        </w:rPr>
      </w:pPr>
      <w:r w:rsidRPr="006D1556">
        <w:rPr>
          <w:rFonts w:cs="Arial"/>
          <w:szCs w:val="20"/>
          <w:lang w:val="es-CO"/>
        </w:rPr>
        <w:t xml:space="preserve">•  </w:t>
      </w:r>
      <w:r w:rsidRPr="006D1556">
        <w:rPr>
          <w:rFonts w:cs="Arial"/>
          <w:b/>
          <w:szCs w:val="20"/>
          <w:lang w:val="es-CO"/>
        </w:rPr>
        <w:t xml:space="preserve">Estructura de la Red: </w:t>
      </w:r>
      <w:r w:rsidRPr="006D1556">
        <w:rPr>
          <w:rFonts w:cs="Arial"/>
          <w:szCs w:val="20"/>
          <w:lang w:val="es-CO"/>
        </w:rPr>
        <w:t>16 IPS distribuidas en 5 comunas de Santiago de Cali (comunas 8, 9, 10, 11 y 12), con servicios básicos habilitados en todas las sedes: medicina general, odontología general, higiene bucal y enfermería desde la gestión de riesgo en salud con un enfoque territorial – comunitario para los habitantes del sector.</w:t>
      </w:r>
    </w:p>
    <w:p w:rsidRPr="006D1556" w:rsidR="002E3FA8" w:rsidRDefault="005F28D9" w14:paraId="66079F73" w14:textId="77777777">
      <w:pPr>
        <w:spacing w:after="60"/>
        <w:rPr>
          <w:rFonts w:cs="Arial"/>
          <w:szCs w:val="20"/>
          <w:lang w:val="es-CO"/>
        </w:rPr>
      </w:pPr>
      <w:r w:rsidRPr="006D1556">
        <w:rPr>
          <w:rFonts w:cs="Arial"/>
          <w:b/>
          <w:szCs w:val="20"/>
          <w:lang w:val="es-CO"/>
        </w:rPr>
        <w:t>Reconocimientos institucionales durante la vigencia 2025:</w:t>
      </w:r>
    </w:p>
    <w:p w:rsidRPr="006D1556" w:rsidR="002E3FA8" w:rsidRDefault="005F28D9" w14:paraId="4D7CEB46" w14:textId="77777777">
      <w:pPr>
        <w:spacing w:after="60"/>
        <w:ind w:left="432"/>
        <w:rPr>
          <w:rFonts w:cs="Arial"/>
          <w:szCs w:val="20"/>
          <w:lang w:val="es-CO"/>
        </w:rPr>
      </w:pPr>
      <w:r w:rsidRPr="006D1556">
        <w:rPr>
          <w:rFonts w:cs="Arial"/>
          <w:szCs w:val="20"/>
          <w:lang w:val="es-CO"/>
        </w:rPr>
        <w:t>•  Premios y reconocimientos: Mención de Honor Ministerio de Salud.</w:t>
      </w:r>
    </w:p>
    <w:p w:rsidRPr="006D1556" w:rsidR="002E3FA8" w:rsidRDefault="005F28D9" w14:paraId="4C5AB6DE" w14:textId="77777777">
      <w:pPr>
        <w:spacing w:after="60"/>
        <w:ind w:left="432"/>
        <w:rPr>
          <w:rFonts w:cs="Arial"/>
          <w:szCs w:val="20"/>
          <w:lang w:val="es-CO"/>
        </w:rPr>
      </w:pPr>
      <w:r w:rsidRPr="006D1556">
        <w:rPr>
          <w:rFonts w:cs="Arial"/>
          <w:szCs w:val="20"/>
          <w:lang w:val="es-CO"/>
        </w:rPr>
        <w:t xml:space="preserve">•  </w:t>
      </w:r>
      <w:proofErr w:type="spellStart"/>
      <w:r w:rsidRPr="006D1556">
        <w:rPr>
          <w:rFonts w:cs="Arial"/>
          <w:szCs w:val="20"/>
          <w:lang w:val="es-CO"/>
        </w:rPr>
        <w:t>MinSalud</w:t>
      </w:r>
      <w:proofErr w:type="spellEnd"/>
      <w:r w:rsidRPr="006D1556">
        <w:rPr>
          <w:rFonts w:cs="Arial"/>
          <w:szCs w:val="20"/>
          <w:lang w:val="es-CO"/>
        </w:rPr>
        <w:t xml:space="preserve"> por Estrategia CAMAD (Premio Nacional 2025).</w:t>
      </w:r>
    </w:p>
    <w:p w:rsidRPr="006D1556" w:rsidR="002E3FA8" w:rsidRDefault="005F28D9" w14:paraId="4F2645B4" w14:textId="77777777">
      <w:pPr>
        <w:spacing w:after="60"/>
        <w:ind w:left="432"/>
        <w:rPr>
          <w:rFonts w:cs="Arial"/>
          <w:szCs w:val="20"/>
          <w:lang w:val="es-CO"/>
        </w:rPr>
      </w:pPr>
      <w:r w:rsidRPr="006D1556">
        <w:rPr>
          <w:rFonts w:cs="Arial"/>
          <w:szCs w:val="20"/>
          <w:lang w:val="es-CO"/>
        </w:rPr>
        <w:t xml:space="preserve">•  Estatus Región Angels Cali Norte </w:t>
      </w:r>
      <w:proofErr w:type="spellStart"/>
      <w:r w:rsidRPr="006D1556">
        <w:rPr>
          <w:rFonts w:cs="Arial"/>
          <w:szCs w:val="20"/>
          <w:lang w:val="es-CO"/>
        </w:rPr>
        <w:t>Awards</w:t>
      </w:r>
      <w:proofErr w:type="spellEnd"/>
      <w:r w:rsidRPr="006D1556">
        <w:rPr>
          <w:rFonts w:cs="Arial"/>
          <w:szCs w:val="20"/>
          <w:lang w:val="es-CO"/>
        </w:rPr>
        <w:t>.</w:t>
      </w:r>
    </w:p>
    <w:p w:rsidRPr="006D1556" w:rsidR="002E3FA8" w:rsidRDefault="005F28D9" w14:paraId="0A4CE92E" w14:textId="77777777">
      <w:pPr>
        <w:spacing w:after="60"/>
        <w:ind w:left="432"/>
        <w:rPr>
          <w:rFonts w:cs="Arial"/>
          <w:szCs w:val="20"/>
          <w:lang w:val="es-CO"/>
        </w:rPr>
      </w:pPr>
      <w:r w:rsidRPr="006D1556">
        <w:rPr>
          <w:rFonts w:cs="Arial"/>
          <w:szCs w:val="20"/>
          <w:lang w:val="es-CO"/>
        </w:rPr>
        <w:t>•  Premio Interamericano a la Innovación para la Gestión Pública Efectiva 2025 (OEA) por la estrategia “Por Ti Mujer”.</w:t>
      </w:r>
    </w:p>
    <w:p w:rsidRPr="006D1556" w:rsidR="002E3FA8" w:rsidRDefault="005F28D9" w14:paraId="439A3492" w14:textId="77777777">
      <w:pPr>
        <w:spacing w:after="60"/>
        <w:ind w:left="432"/>
        <w:rPr>
          <w:rFonts w:cs="Arial"/>
          <w:szCs w:val="20"/>
          <w:lang w:val="es-CO"/>
        </w:rPr>
      </w:pPr>
      <w:r w:rsidRPr="006D1556">
        <w:rPr>
          <w:rFonts w:cs="Arial"/>
          <w:szCs w:val="20"/>
          <w:lang w:val="es-CO"/>
        </w:rPr>
        <w:t>•  Reconocimiento Amigos de la Familia Lactante.</w:t>
      </w:r>
    </w:p>
    <w:p w:rsidRPr="006D1556" w:rsidR="002E3FA8" w:rsidRDefault="005F28D9" w14:paraId="0DDF9AFC" w14:textId="77777777">
      <w:pPr>
        <w:spacing w:after="60"/>
        <w:ind w:left="432"/>
        <w:rPr>
          <w:rFonts w:cs="Arial"/>
          <w:szCs w:val="20"/>
          <w:lang w:val="es-CO"/>
        </w:rPr>
      </w:pPr>
      <w:r w:rsidRPr="006D1556">
        <w:rPr>
          <w:rFonts w:cs="Arial"/>
          <w:szCs w:val="20"/>
          <w:lang w:val="es-CO"/>
        </w:rPr>
        <w:t>•  Reconocimiento Hospitales Verdes.</w:t>
      </w:r>
    </w:p>
    <w:p w:rsidRPr="006D1556" w:rsidR="002E3FA8" w:rsidRDefault="005F28D9" w14:paraId="56497622" w14:textId="77777777">
      <w:pPr>
        <w:spacing w:after="60"/>
        <w:ind w:left="432"/>
        <w:rPr>
          <w:rFonts w:cs="Arial"/>
          <w:szCs w:val="20"/>
          <w:lang w:val="es-CO"/>
        </w:rPr>
      </w:pPr>
      <w:r w:rsidRPr="006D1556">
        <w:rPr>
          <w:rFonts w:cs="Arial"/>
          <w:szCs w:val="20"/>
          <w:lang w:val="es-CO"/>
        </w:rPr>
        <w:t>•  Reconocimiento de Hospitales Seguros.</w:t>
      </w:r>
    </w:p>
    <w:p w:rsidRPr="006D1556" w:rsidR="002E3FA8" w:rsidRDefault="005F28D9" w14:paraId="5B45E638" w14:textId="77777777">
      <w:pPr>
        <w:spacing w:after="60"/>
        <w:ind w:left="432"/>
        <w:rPr>
          <w:rFonts w:cs="Arial"/>
          <w:szCs w:val="20"/>
          <w:lang w:val="es-CO"/>
        </w:rPr>
      </w:pPr>
      <w:r w:rsidRPr="006D1556">
        <w:rPr>
          <w:rFonts w:cs="Arial"/>
          <w:szCs w:val="20"/>
          <w:lang w:val="es-CO"/>
        </w:rPr>
        <w:t xml:space="preserve">•  </w:t>
      </w:r>
      <w:r w:rsidRPr="006D1556">
        <w:rPr>
          <w:rFonts w:cs="Arial"/>
          <w:b/>
          <w:szCs w:val="20"/>
          <w:lang w:val="es-CO"/>
        </w:rPr>
        <w:t xml:space="preserve">Proyecciones institucionales: </w:t>
      </w:r>
      <w:r w:rsidRPr="006D1556">
        <w:rPr>
          <w:rFonts w:cs="Arial"/>
          <w:szCs w:val="20"/>
          <w:lang w:val="es-CO"/>
        </w:rPr>
        <w:t>segundo ciclo de acreditación en salud; fortalecimiento de 50 equipos básicos en salud; equipos básicos especializados en salud mental, medicina interna y pediatría.</w:t>
      </w:r>
    </w:p>
    <w:p w:rsidR="005A6701" w:rsidRDefault="005A6701" w14:paraId="3B63105C" w14:textId="77777777">
      <w:pPr>
        <w:rPr>
          <w:rFonts w:cs="Arial"/>
          <w:b/>
          <w:szCs w:val="20"/>
          <w:lang w:val="es-CO"/>
        </w:rPr>
      </w:pPr>
    </w:p>
    <w:p w:rsidRPr="006D1556" w:rsidR="002E3FA8" w:rsidRDefault="005F28D9" w14:paraId="239DD374" w14:textId="3090BB02">
      <w:pPr>
        <w:rPr>
          <w:rFonts w:cs="Arial"/>
          <w:szCs w:val="20"/>
          <w:lang w:val="es-CO"/>
        </w:rPr>
      </w:pPr>
      <w:r w:rsidRPr="006D1556">
        <w:rPr>
          <w:rFonts w:cs="Arial"/>
          <w:b/>
          <w:szCs w:val="20"/>
          <w:lang w:val="es-CO"/>
        </w:rPr>
        <w:t>Dr. Jhon Faber Ramírez — Subgerente Científico</w:t>
      </w:r>
    </w:p>
    <w:p w:rsidRPr="006D1556" w:rsidR="002E3FA8" w:rsidRDefault="005F28D9" w14:paraId="78C5CC33" w14:textId="77777777">
      <w:pPr>
        <w:spacing w:after="60"/>
        <w:rPr>
          <w:rFonts w:cs="Arial"/>
          <w:szCs w:val="20"/>
          <w:lang w:val="es-CO"/>
        </w:rPr>
      </w:pPr>
      <w:r w:rsidRPr="006D1556">
        <w:rPr>
          <w:rFonts w:cs="Arial"/>
          <w:b/>
          <w:szCs w:val="20"/>
          <w:lang w:val="es-CO"/>
        </w:rPr>
        <w:t>Intervenciones en Salud en Cifras</w:t>
      </w:r>
    </w:p>
    <w:p w:rsidRPr="006D1556" w:rsidR="002E3FA8" w:rsidRDefault="005F28D9" w14:paraId="5737B02B" w14:textId="77777777">
      <w:pPr>
        <w:spacing w:after="60"/>
        <w:rPr>
          <w:rFonts w:cs="Arial"/>
          <w:szCs w:val="20"/>
          <w:lang w:val="es-CO"/>
        </w:rPr>
      </w:pPr>
      <w:r w:rsidRPr="006D1556">
        <w:rPr>
          <w:rFonts w:cs="Arial"/>
          <w:b/>
          <w:szCs w:val="20"/>
          <w:lang w:val="es-CO"/>
        </w:rPr>
        <w:t>Producción de servicios básicos de Salud 2024 – 2025:</w:t>
      </w:r>
    </w:p>
    <w:p w:rsidR="001A3CEC" w:rsidP="001A3CEC" w:rsidRDefault="001A3CEC" w14:paraId="52CD1041" w14:textId="77777777">
      <w:pPr>
        <w:rPr>
          <w:rFonts w:cs="Arial"/>
          <w:szCs w:val="20"/>
          <w:lang w:val="es-CO"/>
        </w:rPr>
      </w:pPr>
      <w:r w:rsidRPr="006D1556">
        <w:rPr>
          <w:rFonts w:cs="Arial"/>
          <w:szCs w:val="20"/>
          <w:lang w:val="es-CO"/>
        </w:rPr>
        <w:t xml:space="preserve">Durante la vigencia 2025, la Red de Salud del Centro E.S.E. avanzó en la reorientación estratégica de su modelo de atención hacia mayor integralidad, resolutividad y humanización. </w:t>
      </w:r>
    </w:p>
    <w:p w:rsidRPr="006D1556" w:rsidR="002E3FA8" w:rsidP="001A3CEC" w:rsidRDefault="001A3CEC" w14:paraId="754909CA" w14:textId="199DC95C">
      <w:pPr>
        <w:rPr>
          <w:rFonts w:cs="Arial"/>
          <w:szCs w:val="20"/>
          <w:lang w:val="es-CO"/>
        </w:rPr>
      </w:pPr>
      <w:r w:rsidRPr="006D1556">
        <w:rPr>
          <w:rFonts w:cs="Arial"/>
          <w:szCs w:val="20"/>
          <w:lang w:val="es-CO"/>
        </w:rPr>
        <w:t xml:space="preserve">En </w:t>
      </w:r>
      <w:r w:rsidRPr="005A6701">
        <w:rPr>
          <w:rFonts w:cs="Arial"/>
          <w:szCs w:val="20"/>
          <w:lang w:val="es-CO"/>
        </w:rPr>
        <w:t xml:space="preserve">la Tabla </w:t>
      </w:r>
      <w:r w:rsidRPr="005A6701" w:rsidR="005A6701">
        <w:rPr>
          <w:lang w:val="es-CO"/>
        </w:rPr>
        <w:t>1</w:t>
      </w:r>
      <w:r w:rsidRPr="006D1556">
        <w:rPr>
          <w:rFonts w:cs="Arial"/>
          <w:szCs w:val="20"/>
          <w:lang w:val="es-CO"/>
        </w:rPr>
        <w:t xml:space="preserve"> se presentan los resultados comparativos de la producción de servicios básicos entre 2024 y 2025, con énfasis en el comportamiento de la demanda, la capacidad de respuesta institucional y las oportunidades de mejora asociadas.</w:t>
      </w:r>
    </w:p>
    <w:p w:rsidRPr="006D1556" w:rsidR="002E3FA8" w:rsidP="0C60CD46" w:rsidRDefault="001A3CEC" w14:paraId="4F38FEC4" w14:textId="435D70A9">
      <w:pPr>
        <w:rPr>
          <w:rFonts w:cs="Arial"/>
          <w:b/>
          <w:bCs/>
          <w:lang w:val="es-CO"/>
        </w:rPr>
      </w:pPr>
      <w:r w:rsidRPr="0C60CD46">
        <w:rPr>
          <w:rFonts w:cs="Arial"/>
          <w:b/>
          <w:bCs/>
          <w:lang w:val="es-CO"/>
        </w:rPr>
        <w:t xml:space="preserve">Tabla </w:t>
      </w:r>
      <w:r w:rsidRPr="0C60CD46" w:rsidR="00B702D6">
        <w:rPr>
          <w:rFonts w:cs="Arial"/>
          <w:b/>
          <w:bCs/>
          <w:lang w:val="es-CO"/>
        </w:rPr>
        <w:t>1</w:t>
      </w:r>
      <w:r w:rsidRPr="0C60CD46">
        <w:rPr>
          <w:rFonts w:cs="Arial"/>
          <w:b/>
          <w:bCs/>
          <w:lang w:val="es-CO"/>
        </w:rPr>
        <w:t>. Comparativo de la producción de servicios ambulatorios y de urgencias, 2024 vs. 2025</w:t>
      </w:r>
    </w:p>
    <w:tbl>
      <w:tblPr>
        <w:tblStyle w:val="TableGrid"/>
        <w:tblW w:w="0" w:type="auto"/>
        <w:jc w:val="center"/>
        <w:tblLook w:val="04A0" w:firstRow="1" w:lastRow="0" w:firstColumn="1" w:lastColumn="0" w:noHBand="0" w:noVBand="1"/>
      </w:tblPr>
      <w:tblGrid>
        <w:gridCol w:w="1728"/>
        <w:gridCol w:w="1008"/>
        <w:gridCol w:w="1008"/>
        <w:gridCol w:w="1152"/>
        <w:gridCol w:w="4752"/>
      </w:tblGrid>
      <w:tr w:rsidRPr="006D1556" w:rsidR="002E3FA8" w:rsidTr="005D642B" w14:paraId="301DEA0D" w14:textId="77777777">
        <w:trPr>
          <w:jc w:val="center"/>
        </w:trPr>
        <w:tc>
          <w:tcPr>
            <w:tcW w:w="1728" w:type="dxa"/>
            <w:shd w:val="clear" w:color="auto" w:fill="1F3864"/>
            <w:vAlign w:val="center"/>
          </w:tcPr>
          <w:p w:rsidRPr="006D1556" w:rsidR="002E3FA8" w:rsidRDefault="005F28D9" w14:paraId="39A6449B" w14:textId="77777777">
            <w:pPr>
              <w:jc w:val="center"/>
              <w:rPr>
                <w:rFonts w:cs="Arial"/>
                <w:szCs w:val="20"/>
              </w:rPr>
            </w:pPr>
            <w:r w:rsidRPr="006D1556">
              <w:rPr>
                <w:rFonts w:cs="Arial"/>
                <w:b/>
                <w:color w:val="FFFFFF"/>
                <w:szCs w:val="20"/>
              </w:rPr>
              <w:t>Servicio</w:t>
            </w:r>
          </w:p>
        </w:tc>
        <w:tc>
          <w:tcPr>
            <w:tcW w:w="1008" w:type="dxa"/>
            <w:shd w:val="clear" w:color="auto" w:fill="1F3864"/>
            <w:vAlign w:val="center"/>
          </w:tcPr>
          <w:p w:rsidRPr="006D1556" w:rsidR="002E3FA8" w:rsidRDefault="005F28D9" w14:paraId="3AA2AE39" w14:textId="77777777">
            <w:pPr>
              <w:jc w:val="center"/>
              <w:rPr>
                <w:rFonts w:cs="Arial"/>
                <w:szCs w:val="20"/>
              </w:rPr>
            </w:pPr>
            <w:r w:rsidRPr="006D1556">
              <w:rPr>
                <w:rFonts w:cs="Arial"/>
                <w:b/>
                <w:color w:val="FFFFFF"/>
                <w:szCs w:val="20"/>
              </w:rPr>
              <w:t>2024</w:t>
            </w:r>
          </w:p>
        </w:tc>
        <w:tc>
          <w:tcPr>
            <w:tcW w:w="1008" w:type="dxa"/>
            <w:shd w:val="clear" w:color="auto" w:fill="1F3864"/>
            <w:vAlign w:val="center"/>
          </w:tcPr>
          <w:p w:rsidRPr="006D1556" w:rsidR="002E3FA8" w:rsidRDefault="005F28D9" w14:paraId="0E02983A" w14:textId="77777777">
            <w:pPr>
              <w:jc w:val="center"/>
              <w:rPr>
                <w:rFonts w:cs="Arial"/>
                <w:szCs w:val="20"/>
              </w:rPr>
            </w:pPr>
            <w:r w:rsidRPr="006D1556">
              <w:rPr>
                <w:rFonts w:cs="Arial"/>
                <w:b/>
                <w:color w:val="FFFFFF"/>
                <w:szCs w:val="20"/>
              </w:rPr>
              <w:t>2025</w:t>
            </w:r>
          </w:p>
        </w:tc>
        <w:tc>
          <w:tcPr>
            <w:tcW w:w="1152" w:type="dxa"/>
            <w:shd w:val="clear" w:color="auto" w:fill="1F3864"/>
            <w:vAlign w:val="center"/>
          </w:tcPr>
          <w:p w:rsidRPr="006D1556" w:rsidR="002E3FA8" w:rsidRDefault="005F28D9" w14:paraId="1496A28B" w14:textId="77777777">
            <w:pPr>
              <w:jc w:val="center"/>
              <w:rPr>
                <w:rFonts w:cs="Arial"/>
                <w:szCs w:val="20"/>
              </w:rPr>
            </w:pPr>
            <w:r w:rsidRPr="006D1556">
              <w:rPr>
                <w:rFonts w:cs="Arial"/>
                <w:b/>
                <w:color w:val="FFFFFF"/>
                <w:szCs w:val="20"/>
              </w:rPr>
              <w:t>Variación</w:t>
            </w:r>
          </w:p>
        </w:tc>
        <w:tc>
          <w:tcPr>
            <w:tcW w:w="4752" w:type="dxa"/>
            <w:shd w:val="clear" w:color="auto" w:fill="1F3864"/>
            <w:vAlign w:val="center"/>
          </w:tcPr>
          <w:p w:rsidRPr="006D1556" w:rsidR="002E3FA8" w:rsidRDefault="005F28D9" w14:paraId="71E66E2F" w14:textId="77777777">
            <w:pPr>
              <w:jc w:val="center"/>
              <w:rPr>
                <w:rFonts w:cs="Arial"/>
                <w:szCs w:val="20"/>
              </w:rPr>
            </w:pPr>
            <w:r w:rsidRPr="006D1556">
              <w:rPr>
                <w:rFonts w:cs="Arial"/>
                <w:b/>
                <w:color w:val="FFFFFF"/>
                <w:szCs w:val="20"/>
              </w:rPr>
              <w:t>Análisis de Oportunidad</w:t>
            </w:r>
          </w:p>
        </w:tc>
      </w:tr>
      <w:tr w:rsidRPr="00846AFF" w:rsidR="002E3FA8" w:rsidTr="005D642B" w14:paraId="3AF36B48" w14:textId="77777777">
        <w:trPr>
          <w:jc w:val="center"/>
        </w:trPr>
        <w:tc>
          <w:tcPr>
            <w:tcW w:w="1728" w:type="dxa"/>
            <w:vAlign w:val="center"/>
          </w:tcPr>
          <w:p w:rsidRPr="006D1556" w:rsidR="002E3FA8" w:rsidRDefault="005F28D9" w14:paraId="06A8BAA2" w14:textId="77777777">
            <w:pPr>
              <w:jc w:val="left"/>
              <w:rPr>
                <w:rFonts w:cs="Arial"/>
                <w:szCs w:val="20"/>
              </w:rPr>
            </w:pPr>
            <w:r w:rsidRPr="006D1556">
              <w:rPr>
                <w:rFonts w:cs="Arial"/>
                <w:szCs w:val="20"/>
              </w:rPr>
              <w:t>Medicina General</w:t>
            </w:r>
          </w:p>
        </w:tc>
        <w:tc>
          <w:tcPr>
            <w:tcW w:w="1008" w:type="dxa"/>
            <w:vAlign w:val="center"/>
          </w:tcPr>
          <w:p w:rsidRPr="006D1556" w:rsidR="002E3FA8" w:rsidRDefault="005F28D9" w14:paraId="120C9E63" w14:textId="77777777">
            <w:pPr>
              <w:jc w:val="left"/>
              <w:rPr>
                <w:rFonts w:cs="Arial"/>
                <w:szCs w:val="20"/>
              </w:rPr>
            </w:pPr>
            <w:r w:rsidRPr="006D1556">
              <w:rPr>
                <w:rFonts w:cs="Arial"/>
                <w:szCs w:val="20"/>
              </w:rPr>
              <w:t>168.826</w:t>
            </w:r>
          </w:p>
        </w:tc>
        <w:tc>
          <w:tcPr>
            <w:tcW w:w="1008" w:type="dxa"/>
            <w:vAlign w:val="center"/>
          </w:tcPr>
          <w:p w:rsidRPr="006D1556" w:rsidR="002E3FA8" w:rsidRDefault="005F28D9" w14:paraId="09250506" w14:textId="77777777">
            <w:pPr>
              <w:jc w:val="left"/>
              <w:rPr>
                <w:rFonts w:cs="Arial"/>
                <w:szCs w:val="20"/>
              </w:rPr>
            </w:pPr>
            <w:r w:rsidRPr="006D1556">
              <w:rPr>
                <w:rFonts w:cs="Arial"/>
                <w:szCs w:val="20"/>
              </w:rPr>
              <w:t>169.022</w:t>
            </w:r>
          </w:p>
        </w:tc>
        <w:tc>
          <w:tcPr>
            <w:tcW w:w="1152" w:type="dxa"/>
            <w:vAlign w:val="center"/>
          </w:tcPr>
          <w:p w:rsidRPr="006D1556" w:rsidR="002E3FA8" w:rsidRDefault="005F28D9" w14:paraId="6C3E6E79" w14:textId="77777777">
            <w:pPr>
              <w:jc w:val="left"/>
              <w:rPr>
                <w:rFonts w:cs="Arial"/>
                <w:szCs w:val="20"/>
              </w:rPr>
            </w:pPr>
            <w:r w:rsidRPr="006D1556">
              <w:rPr>
                <w:rFonts w:cs="Arial"/>
                <w:szCs w:val="20"/>
              </w:rPr>
              <w:t>+0.12%</w:t>
            </w:r>
          </w:p>
        </w:tc>
        <w:tc>
          <w:tcPr>
            <w:tcW w:w="4752" w:type="dxa"/>
            <w:vAlign w:val="center"/>
          </w:tcPr>
          <w:p w:rsidR="001A3CEC" w:rsidP="005D642B" w:rsidRDefault="005F28D9" w14:paraId="2876F1CF" w14:textId="77777777">
            <w:pPr>
              <w:rPr>
                <w:rFonts w:cs="Arial"/>
                <w:szCs w:val="20"/>
                <w:lang w:val="es-CO"/>
              </w:rPr>
            </w:pPr>
            <w:r w:rsidRPr="006D1556">
              <w:rPr>
                <w:rFonts w:cs="Arial"/>
                <w:szCs w:val="20"/>
                <w:lang w:val="es-CO"/>
              </w:rPr>
              <w:t xml:space="preserve">Estable: consolidación de capacidad. </w:t>
            </w:r>
          </w:p>
          <w:p w:rsidRPr="006D1556" w:rsidR="002E3FA8" w:rsidP="001A3CEC" w:rsidRDefault="005F28D9" w14:paraId="32211A1C" w14:textId="1FF58188">
            <w:pPr>
              <w:jc w:val="left"/>
              <w:rPr>
                <w:rFonts w:cs="Arial"/>
                <w:szCs w:val="20"/>
                <w:lang w:val="es-CO"/>
              </w:rPr>
            </w:pPr>
            <w:r w:rsidRPr="006D1556">
              <w:rPr>
                <w:rFonts w:cs="Arial"/>
                <w:szCs w:val="20"/>
                <w:lang w:val="es-CO"/>
              </w:rPr>
              <w:t>Oportunidad = disponibilidad consistente en primer nivel</w:t>
            </w:r>
          </w:p>
        </w:tc>
      </w:tr>
      <w:tr w:rsidRPr="00846AFF" w:rsidR="002E3FA8" w:rsidTr="005D642B" w14:paraId="6D4AFFCB" w14:textId="77777777">
        <w:trPr>
          <w:jc w:val="center"/>
        </w:trPr>
        <w:tc>
          <w:tcPr>
            <w:tcW w:w="1728" w:type="dxa"/>
            <w:vAlign w:val="center"/>
          </w:tcPr>
          <w:p w:rsidRPr="006D1556" w:rsidR="002E3FA8" w:rsidRDefault="005F28D9" w14:paraId="27676B18" w14:textId="77777777">
            <w:pPr>
              <w:jc w:val="left"/>
              <w:rPr>
                <w:rFonts w:cs="Arial"/>
                <w:szCs w:val="20"/>
              </w:rPr>
            </w:pPr>
            <w:proofErr w:type="spellStart"/>
            <w:r w:rsidRPr="006D1556">
              <w:rPr>
                <w:rFonts w:cs="Arial"/>
                <w:szCs w:val="20"/>
              </w:rPr>
              <w:t>Enfermería</w:t>
            </w:r>
            <w:proofErr w:type="spellEnd"/>
            <w:r w:rsidRPr="006D1556">
              <w:rPr>
                <w:rFonts w:cs="Arial"/>
                <w:szCs w:val="20"/>
              </w:rPr>
              <w:t xml:space="preserve"> (prenatal/ </w:t>
            </w:r>
            <w:proofErr w:type="spellStart"/>
            <w:r w:rsidRPr="006D1556">
              <w:rPr>
                <w:rFonts w:cs="Arial"/>
                <w:szCs w:val="20"/>
              </w:rPr>
              <w:t>CyD</w:t>
            </w:r>
            <w:proofErr w:type="spellEnd"/>
            <w:r w:rsidRPr="006D1556">
              <w:rPr>
                <w:rFonts w:cs="Arial"/>
                <w:szCs w:val="20"/>
              </w:rPr>
              <w:t>)</w:t>
            </w:r>
          </w:p>
        </w:tc>
        <w:tc>
          <w:tcPr>
            <w:tcW w:w="1008" w:type="dxa"/>
            <w:vAlign w:val="center"/>
          </w:tcPr>
          <w:p w:rsidRPr="006D1556" w:rsidR="002E3FA8" w:rsidRDefault="005F28D9" w14:paraId="45844B90" w14:textId="77777777">
            <w:pPr>
              <w:jc w:val="left"/>
              <w:rPr>
                <w:rFonts w:cs="Arial"/>
                <w:szCs w:val="20"/>
              </w:rPr>
            </w:pPr>
            <w:r w:rsidRPr="006D1556">
              <w:rPr>
                <w:rFonts w:cs="Arial"/>
                <w:szCs w:val="20"/>
              </w:rPr>
              <w:t>7.782</w:t>
            </w:r>
          </w:p>
        </w:tc>
        <w:tc>
          <w:tcPr>
            <w:tcW w:w="1008" w:type="dxa"/>
            <w:vAlign w:val="center"/>
          </w:tcPr>
          <w:p w:rsidRPr="006D1556" w:rsidR="002E3FA8" w:rsidRDefault="005F28D9" w14:paraId="7F53B6F7" w14:textId="77777777">
            <w:pPr>
              <w:jc w:val="left"/>
              <w:rPr>
                <w:rFonts w:cs="Arial"/>
                <w:szCs w:val="20"/>
              </w:rPr>
            </w:pPr>
            <w:r w:rsidRPr="006D1556">
              <w:rPr>
                <w:rFonts w:cs="Arial"/>
                <w:szCs w:val="20"/>
              </w:rPr>
              <w:t>8.015</w:t>
            </w:r>
          </w:p>
        </w:tc>
        <w:tc>
          <w:tcPr>
            <w:tcW w:w="1152" w:type="dxa"/>
            <w:vAlign w:val="center"/>
          </w:tcPr>
          <w:p w:rsidRPr="006D1556" w:rsidR="002E3FA8" w:rsidRDefault="005F28D9" w14:paraId="499F11E6" w14:textId="77777777">
            <w:pPr>
              <w:jc w:val="left"/>
              <w:rPr>
                <w:rFonts w:cs="Arial"/>
                <w:szCs w:val="20"/>
              </w:rPr>
            </w:pPr>
            <w:r w:rsidRPr="006D1556">
              <w:rPr>
                <w:rFonts w:cs="Arial"/>
                <w:szCs w:val="20"/>
              </w:rPr>
              <w:t>+2.99%</w:t>
            </w:r>
          </w:p>
        </w:tc>
        <w:tc>
          <w:tcPr>
            <w:tcW w:w="4752" w:type="dxa"/>
            <w:vAlign w:val="center"/>
          </w:tcPr>
          <w:p w:rsidR="001A3CEC" w:rsidP="005D642B" w:rsidRDefault="005F28D9" w14:paraId="5F23E76D" w14:textId="77777777">
            <w:pPr>
              <w:rPr>
                <w:rFonts w:cs="Arial"/>
                <w:szCs w:val="20"/>
                <w:lang w:val="es-CO"/>
              </w:rPr>
            </w:pPr>
            <w:r w:rsidRPr="006D1556">
              <w:rPr>
                <w:rFonts w:cs="Arial"/>
                <w:szCs w:val="20"/>
                <w:lang w:val="es-CO"/>
              </w:rPr>
              <w:t xml:space="preserve">Vigilancia fortalecida: mayor cobertura materno-infantil. </w:t>
            </w:r>
          </w:p>
          <w:p w:rsidRPr="006D1556" w:rsidR="002E3FA8" w:rsidP="001A3CEC" w:rsidRDefault="005F28D9" w14:paraId="767E7B3E" w14:textId="76275CE6">
            <w:pPr>
              <w:jc w:val="left"/>
              <w:rPr>
                <w:rFonts w:cs="Arial"/>
                <w:szCs w:val="20"/>
                <w:lang w:val="es-CO"/>
              </w:rPr>
            </w:pPr>
            <w:r w:rsidRPr="006D1556">
              <w:rPr>
                <w:rFonts w:cs="Arial"/>
                <w:szCs w:val="20"/>
                <w:lang w:val="es-CO"/>
              </w:rPr>
              <w:t>Oportunidad = seguimiento integral ciclos de vida</w:t>
            </w:r>
          </w:p>
        </w:tc>
      </w:tr>
      <w:tr w:rsidRPr="00846AFF" w:rsidR="002E3FA8" w:rsidTr="005D642B" w14:paraId="342C7F7E" w14:textId="77777777">
        <w:trPr>
          <w:jc w:val="center"/>
        </w:trPr>
        <w:tc>
          <w:tcPr>
            <w:tcW w:w="1728" w:type="dxa"/>
            <w:vAlign w:val="center"/>
          </w:tcPr>
          <w:p w:rsidRPr="006D1556" w:rsidR="002E3FA8" w:rsidRDefault="005F28D9" w14:paraId="7143FBC4" w14:textId="77777777">
            <w:pPr>
              <w:jc w:val="left"/>
              <w:rPr>
                <w:rFonts w:cs="Arial"/>
                <w:szCs w:val="20"/>
              </w:rPr>
            </w:pPr>
            <w:proofErr w:type="spellStart"/>
            <w:r w:rsidRPr="006D1556">
              <w:rPr>
                <w:rFonts w:cs="Arial"/>
                <w:szCs w:val="20"/>
              </w:rPr>
              <w:t>Enfermería</w:t>
            </w:r>
            <w:proofErr w:type="spellEnd"/>
            <w:r w:rsidRPr="006D1556">
              <w:rPr>
                <w:rFonts w:cs="Arial"/>
                <w:szCs w:val="20"/>
              </w:rPr>
              <w:t xml:space="preserve"> (</w:t>
            </w:r>
            <w:proofErr w:type="spellStart"/>
            <w:r w:rsidRPr="006D1556">
              <w:rPr>
                <w:rFonts w:cs="Arial"/>
                <w:szCs w:val="20"/>
              </w:rPr>
              <w:t>Procedimientos</w:t>
            </w:r>
            <w:proofErr w:type="spellEnd"/>
            <w:r w:rsidRPr="006D1556">
              <w:rPr>
                <w:rFonts w:cs="Arial"/>
                <w:szCs w:val="20"/>
              </w:rPr>
              <w:t>)</w:t>
            </w:r>
          </w:p>
        </w:tc>
        <w:tc>
          <w:tcPr>
            <w:tcW w:w="1008" w:type="dxa"/>
            <w:vAlign w:val="center"/>
          </w:tcPr>
          <w:p w:rsidRPr="006D1556" w:rsidR="002E3FA8" w:rsidRDefault="005F28D9" w14:paraId="581E7321" w14:textId="77777777">
            <w:pPr>
              <w:jc w:val="left"/>
              <w:rPr>
                <w:rFonts w:cs="Arial"/>
                <w:szCs w:val="20"/>
              </w:rPr>
            </w:pPr>
            <w:r w:rsidRPr="006D1556">
              <w:rPr>
                <w:rFonts w:cs="Arial"/>
                <w:szCs w:val="20"/>
              </w:rPr>
              <w:t>56.415</w:t>
            </w:r>
          </w:p>
        </w:tc>
        <w:tc>
          <w:tcPr>
            <w:tcW w:w="1008" w:type="dxa"/>
            <w:vAlign w:val="center"/>
          </w:tcPr>
          <w:p w:rsidRPr="006D1556" w:rsidR="002E3FA8" w:rsidRDefault="005F28D9" w14:paraId="2333AC9B" w14:textId="77777777">
            <w:pPr>
              <w:jc w:val="left"/>
              <w:rPr>
                <w:rFonts w:cs="Arial"/>
                <w:szCs w:val="20"/>
              </w:rPr>
            </w:pPr>
            <w:r w:rsidRPr="006D1556">
              <w:rPr>
                <w:rFonts w:cs="Arial"/>
                <w:szCs w:val="20"/>
              </w:rPr>
              <w:t>60.619</w:t>
            </w:r>
          </w:p>
        </w:tc>
        <w:tc>
          <w:tcPr>
            <w:tcW w:w="1152" w:type="dxa"/>
            <w:vAlign w:val="center"/>
          </w:tcPr>
          <w:p w:rsidRPr="006D1556" w:rsidR="002E3FA8" w:rsidRDefault="005F28D9" w14:paraId="10717434" w14:textId="77777777">
            <w:pPr>
              <w:jc w:val="left"/>
              <w:rPr>
                <w:rFonts w:cs="Arial"/>
                <w:szCs w:val="20"/>
              </w:rPr>
            </w:pPr>
            <w:r w:rsidRPr="006D1556">
              <w:rPr>
                <w:rFonts w:cs="Arial"/>
                <w:szCs w:val="20"/>
              </w:rPr>
              <w:t>+7.46%</w:t>
            </w:r>
          </w:p>
        </w:tc>
        <w:tc>
          <w:tcPr>
            <w:tcW w:w="4752" w:type="dxa"/>
            <w:vAlign w:val="center"/>
          </w:tcPr>
          <w:p w:rsidR="001A3CEC" w:rsidP="005D642B" w:rsidRDefault="005F28D9" w14:paraId="5B60DED6" w14:textId="77777777">
            <w:pPr>
              <w:rPr>
                <w:rFonts w:cs="Arial"/>
                <w:szCs w:val="20"/>
                <w:lang w:val="es-CO"/>
              </w:rPr>
            </w:pPr>
            <w:r w:rsidRPr="006D1556">
              <w:rPr>
                <w:rFonts w:cs="Arial"/>
                <w:szCs w:val="20"/>
                <w:lang w:val="es-CO"/>
              </w:rPr>
              <w:t>Interdisciplinariedad reforzada: equipo de enfermería resuelve en primer nivel.</w:t>
            </w:r>
          </w:p>
          <w:p w:rsidRPr="00846AFF" w:rsidR="002E3FA8" w:rsidP="001A3CEC" w:rsidRDefault="005F28D9" w14:paraId="6B83A3B6" w14:textId="2E51987A">
            <w:pPr>
              <w:jc w:val="left"/>
              <w:rPr>
                <w:rFonts w:cs="Arial"/>
                <w:szCs w:val="20"/>
                <w:lang w:val="es-CO"/>
              </w:rPr>
            </w:pPr>
            <w:r w:rsidRPr="00846AFF">
              <w:rPr>
                <w:rFonts w:cs="Arial"/>
                <w:szCs w:val="20"/>
                <w:lang w:val="es-CO"/>
              </w:rPr>
              <w:t>Oportunidad = acceso a atención sin derivación innecesaria</w:t>
            </w:r>
          </w:p>
        </w:tc>
      </w:tr>
      <w:tr w:rsidRPr="00846AFF" w:rsidR="002E3FA8" w:rsidTr="005D642B" w14:paraId="4EF1A9BB" w14:textId="77777777">
        <w:trPr>
          <w:jc w:val="center"/>
        </w:trPr>
        <w:tc>
          <w:tcPr>
            <w:tcW w:w="1728" w:type="dxa"/>
            <w:vAlign w:val="center"/>
          </w:tcPr>
          <w:p w:rsidRPr="006D1556" w:rsidR="002E3FA8" w:rsidRDefault="005F28D9" w14:paraId="2A23E0B6" w14:textId="77777777">
            <w:pPr>
              <w:jc w:val="left"/>
              <w:rPr>
                <w:rFonts w:cs="Arial"/>
                <w:szCs w:val="20"/>
              </w:rPr>
            </w:pPr>
            <w:proofErr w:type="spellStart"/>
            <w:r w:rsidRPr="006D1556">
              <w:rPr>
                <w:rFonts w:cs="Arial"/>
                <w:szCs w:val="20"/>
              </w:rPr>
              <w:t>Odontología</w:t>
            </w:r>
            <w:proofErr w:type="spellEnd"/>
            <w:r w:rsidRPr="006D1556">
              <w:rPr>
                <w:rFonts w:cs="Arial"/>
                <w:szCs w:val="20"/>
              </w:rPr>
              <w:t xml:space="preserve"> (</w:t>
            </w:r>
            <w:proofErr w:type="spellStart"/>
            <w:r w:rsidRPr="006D1556">
              <w:rPr>
                <w:rFonts w:cs="Arial"/>
                <w:szCs w:val="20"/>
              </w:rPr>
              <w:t>Consultas</w:t>
            </w:r>
            <w:proofErr w:type="spellEnd"/>
            <w:r w:rsidRPr="006D1556">
              <w:rPr>
                <w:rFonts w:cs="Arial"/>
                <w:szCs w:val="20"/>
              </w:rPr>
              <w:t>)</w:t>
            </w:r>
          </w:p>
        </w:tc>
        <w:tc>
          <w:tcPr>
            <w:tcW w:w="1008" w:type="dxa"/>
            <w:vAlign w:val="center"/>
          </w:tcPr>
          <w:p w:rsidRPr="006D1556" w:rsidR="002E3FA8" w:rsidRDefault="005F28D9" w14:paraId="3D707B16" w14:textId="77777777">
            <w:pPr>
              <w:jc w:val="left"/>
              <w:rPr>
                <w:rFonts w:cs="Arial"/>
                <w:szCs w:val="20"/>
              </w:rPr>
            </w:pPr>
            <w:r w:rsidRPr="006D1556">
              <w:rPr>
                <w:rFonts w:cs="Arial"/>
                <w:szCs w:val="20"/>
              </w:rPr>
              <w:t>26.702</w:t>
            </w:r>
          </w:p>
        </w:tc>
        <w:tc>
          <w:tcPr>
            <w:tcW w:w="1008" w:type="dxa"/>
            <w:vAlign w:val="center"/>
          </w:tcPr>
          <w:p w:rsidRPr="006D1556" w:rsidR="002E3FA8" w:rsidRDefault="005F28D9" w14:paraId="1F2ED416" w14:textId="77777777">
            <w:pPr>
              <w:jc w:val="left"/>
              <w:rPr>
                <w:rFonts w:cs="Arial"/>
                <w:szCs w:val="20"/>
              </w:rPr>
            </w:pPr>
            <w:r w:rsidRPr="006D1556">
              <w:rPr>
                <w:rFonts w:cs="Arial"/>
                <w:szCs w:val="20"/>
              </w:rPr>
              <w:t>24.467</w:t>
            </w:r>
          </w:p>
        </w:tc>
        <w:tc>
          <w:tcPr>
            <w:tcW w:w="1152" w:type="dxa"/>
            <w:vAlign w:val="center"/>
          </w:tcPr>
          <w:p w:rsidRPr="006D1556" w:rsidR="002E3FA8" w:rsidRDefault="005F28D9" w14:paraId="628B0258" w14:textId="77777777">
            <w:pPr>
              <w:jc w:val="left"/>
              <w:rPr>
                <w:rFonts w:cs="Arial"/>
                <w:szCs w:val="20"/>
              </w:rPr>
            </w:pPr>
            <w:r w:rsidRPr="006D1556">
              <w:rPr>
                <w:rFonts w:cs="Arial"/>
                <w:szCs w:val="20"/>
              </w:rPr>
              <w:t>-8.37%</w:t>
            </w:r>
          </w:p>
        </w:tc>
        <w:tc>
          <w:tcPr>
            <w:tcW w:w="4752" w:type="dxa"/>
            <w:vAlign w:val="center"/>
          </w:tcPr>
          <w:p w:rsidRPr="006D1556" w:rsidR="002E3FA8" w:rsidP="005D642B" w:rsidRDefault="005F28D9" w14:paraId="09E5C636" w14:textId="77777777">
            <w:pPr>
              <w:rPr>
                <w:rFonts w:cs="Arial"/>
                <w:szCs w:val="20"/>
                <w:lang w:val="es-CO"/>
              </w:rPr>
            </w:pPr>
            <w:r w:rsidRPr="006D1556">
              <w:rPr>
                <w:rFonts w:cs="Arial"/>
                <w:szCs w:val="20"/>
                <w:lang w:val="es-CO"/>
              </w:rPr>
              <w:t>Contención por limitaciones EAPB, pero estrategia preserva preventivo (-3.56% sellantes &lt;&lt; -8.37% global)</w:t>
            </w:r>
          </w:p>
        </w:tc>
      </w:tr>
      <w:tr w:rsidRPr="00846AFF" w:rsidR="002E3FA8" w:rsidTr="005D642B" w14:paraId="01ABBC01" w14:textId="77777777">
        <w:trPr>
          <w:jc w:val="center"/>
        </w:trPr>
        <w:tc>
          <w:tcPr>
            <w:tcW w:w="1728" w:type="dxa"/>
            <w:vAlign w:val="center"/>
          </w:tcPr>
          <w:p w:rsidRPr="006D1556" w:rsidR="002E3FA8" w:rsidRDefault="005F28D9" w14:paraId="280959E7" w14:textId="77777777">
            <w:pPr>
              <w:jc w:val="left"/>
              <w:rPr>
                <w:rFonts w:cs="Arial"/>
                <w:szCs w:val="20"/>
              </w:rPr>
            </w:pPr>
            <w:proofErr w:type="spellStart"/>
            <w:r w:rsidRPr="006D1556">
              <w:rPr>
                <w:rFonts w:cs="Arial"/>
                <w:szCs w:val="20"/>
              </w:rPr>
              <w:t>Odontología</w:t>
            </w:r>
            <w:proofErr w:type="spellEnd"/>
            <w:r w:rsidRPr="006D1556">
              <w:rPr>
                <w:rFonts w:cs="Arial"/>
                <w:szCs w:val="20"/>
              </w:rPr>
              <w:t xml:space="preserve"> (</w:t>
            </w:r>
            <w:proofErr w:type="spellStart"/>
            <w:r w:rsidRPr="006D1556">
              <w:rPr>
                <w:rFonts w:cs="Arial"/>
                <w:szCs w:val="20"/>
              </w:rPr>
              <w:t>Exodoncias</w:t>
            </w:r>
            <w:proofErr w:type="spellEnd"/>
            <w:r w:rsidRPr="006D1556">
              <w:rPr>
                <w:rFonts w:cs="Arial"/>
                <w:szCs w:val="20"/>
              </w:rPr>
              <w:t>)</w:t>
            </w:r>
          </w:p>
        </w:tc>
        <w:tc>
          <w:tcPr>
            <w:tcW w:w="1008" w:type="dxa"/>
            <w:vAlign w:val="center"/>
          </w:tcPr>
          <w:p w:rsidRPr="006D1556" w:rsidR="002E3FA8" w:rsidRDefault="005F28D9" w14:paraId="09CACD23" w14:textId="77777777">
            <w:pPr>
              <w:jc w:val="left"/>
              <w:rPr>
                <w:rFonts w:cs="Arial"/>
                <w:szCs w:val="20"/>
              </w:rPr>
            </w:pPr>
            <w:r w:rsidRPr="006D1556">
              <w:rPr>
                <w:rFonts w:cs="Arial"/>
                <w:szCs w:val="20"/>
              </w:rPr>
              <w:t>5.176</w:t>
            </w:r>
          </w:p>
        </w:tc>
        <w:tc>
          <w:tcPr>
            <w:tcW w:w="1008" w:type="dxa"/>
            <w:vAlign w:val="center"/>
          </w:tcPr>
          <w:p w:rsidRPr="006D1556" w:rsidR="002E3FA8" w:rsidRDefault="005F28D9" w14:paraId="442C5F80" w14:textId="77777777">
            <w:pPr>
              <w:jc w:val="left"/>
              <w:rPr>
                <w:rFonts w:cs="Arial"/>
                <w:szCs w:val="20"/>
              </w:rPr>
            </w:pPr>
            <w:r w:rsidRPr="006D1556">
              <w:rPr>
                <w:rFonts w:cs="Arial"/>
                <w:szCs w:val="20"/>
              </w:rPr>
              <w:t>6.467</w:t>
            </w:r>
          </w:p>
        </w:tc>
        <w:tc>
          <w:tcPr>
            <w:tcW w:w="1152" w:type="dxa"/>
            <w:vAlign w:val="center"/>
          </w:tcPr>
          <w:p w:rsidRPr="006D1556" w:rsidR="002E3FA8" w:rsidRDefault="005F28D9" w14:paraId="75589CA5" w14:textId="77777777">
            <w:pPr>
              <w:jc w:val="left"/>
              <w:rPr>
                <w:rFonts w:cs="Arial"/>
                <w:szCs w:val="20"/>
              </w:rPr>
            </w:pPr>
            <w:r w:rsidRPr="006D1556">
              <w:rPr>
                <w:rFonts w:cs="Arial"/>
                <w:szCs w:val="20"/>
              </w:rPr>
              <w:t>+24.95%</w:t>
            </w:r>
          </w:p>
        </w:tc>
        <w:tc>
          <w:tcPr>
            <w:tcW w:w="4752" w:type="dxa"/>
            <w:vAlign w:val="center"/>
          </w:tcPr>
          <w:p w:rsidR="001A3CEC" w:rsidP="005D642B" w:rsidRDefault="005F28D9" w14:paraId="14D3E9CE" w14:textId="77777777">
            <w:pPr>
              <w:rPr>
                <w:rFonts w:cs="Arial"/>
                <w:szCs w:val="20"/>
                <w:lang w:val="es-CO"/>
              </w:rPr>
            </w:pPr>
            <w:r w:rsidRPr="006D1556">
              <w:rPr>
                <w:rFonts w:cs="Arial"/>
                <w:szCs w:val="20"/>
                <w:lang w:val="es-CO"/>
              </w:rPr>
              <w:t xml:space="preserve">Reorientación a urgencia: +1.291 extracciones urgentes. </w:t>
            </w:r>
          </w:p>
          <w:p w:rsidRPr="006D1556" w:rsidR="002E3FA8" w:rsidP="001A3CEC" w:rsidRDefault="005F28D9" w14:paraId="637E5C67" w14:textId="0B5346E8">
            <w:pPr>
              <w:jc w:val="left"/>
              <w:rPr>
                <w:rFonts w:cs="Arial"/>
                <w:szCs w:val="20"/>
                <w:lang w:val="es-CO"/>
              </w:rPr>
            </w:pPr>
            <w:r w:rsidRPr="006D1556">
              <w:rPr>
                <w:rFonts w:cs="Arial"/>
                <w:szCs w:val="20"/>
                <w:lang w:val="es-CO"/>
              </w:rPr>
              <w:t>Oportunidad = acceso a resolución de emergencias bucales</w:t>
            </w:r>
          </w:p>
        </w:tc>
      </w:tr>
      <w:tr w:rsidRPr="00846AFF" w:rsidR="002E3FA8" w:rsidTr="005D642B" w14:paraId="55F717D7" w14:textId="77777777">
        <w:trPr>
          <w:jc w:val="center"/>
        </w:trPr>
        <w:tc>
          <w:tcPr>
            <w:tcW w:w="1728" w:type="dxa"/>
            <w:vAlign w:val="center"/>
          </w:tcPr>
          <w:p w:rsidRPr="006D1556" w:rsidR="002E3FA8" w:rsidRDefault="005F28D9" w14:paraId="34582B03" w14:textId="77777777">
            <w:pPr>
              <w:jc w:val="left"/>
              <w:rPr>
                <w:rFonts w:cs="Arial"/>
                <w:szCs w:val="20"/>
              </w:rPr>
            </w:pPr>
            <w:proofErr w:type="spellStart"/>
            <w:r w:rsidRPr="006D1556">
              <w:rPr>
                <w:rFonts w:cs="Arial"/>
                <w:szCs w:val="20"/>
              </w:rPr>
              <w:t>Trabajo</w:t>
            </w:r>
            <w:proofErr w:type="spellEnd"/>
            <w:r w:rsidRPr="006D1556">
              <w:rPr>
                <w:rFonts w:cs="Arial"/>
                <w:szCs w:val="20"/>
              </w:rPr>
              <w:t xml:space="preserve"> Social</w:t>
            </w:r>
          </w:p>
        </w:tc>
        <w:tc>
          <w:tcPr>
            <w:tcW w:w="1008" w:type="dxa"/>
            <w:vAlign w:val="center"/>
          </w:tcPr>
          <w:p w:rsidRPr="006D1556" w:rsidR="002E3FA8" w:rsidRDefault="005F28D9" w14:paraId="3576D1DB" w14:textId="77777777">
            <w:pPr>
              <w:jc w:val="left"/>
              <w:rPr>
                <w:rFonts w:cs="Arial"/>
                <w:szCs w:val="20"/>
              </w:rPr>
            </w:pPr>
            <w:r w:rsidRPr="006D1556">
              <w:rPr>
                <w:rFonts w:cs="Arial"/>
                <w:szCs w:val="20"/>
              </w:rPr>
              <w:t>296</w:t>
            </w:r>
          </w:p>
        </w:tc>
        <w:tc>
          <w:tcPr>
            <w:tcW w:w="1008" w:type="dxa"/>
            <w:vAlign w:val="center"/>
          </w:tcPr>
          <w:p w:rsidRPr="006D1556" w:rsidR="002E3FA8" w:rsidRDefault="005F28D9" w14:paraId="2A5D9F25" w14:textId="77777777">
            <w:pPr>
              <w:jc w:val="left"/>
              <w:rPr>
                <w:rFonts w:cs="Arial"/>
                <w:szCs w:val="20"/>
              </w:rPr>
            </w:pPr>
            <w:r w:rsidRPr="006D1556">
              <w:rPr>
                <w:rFonts w:cs="Arial"/>
                <w:szCs w:val="20"/>
              </w:rPr>
              <w:t>670</w:t>
            </w:r>
          </w:p>
        </w:tc>
        <w:tc>
          <w:tcPr>
            <w:tcW w:w="1152" w:type="dxa"/>
            <w:vAlign w:val="center"/>
          </w:tcPr>
          <w:p w:rsidRPr="006D1556" w:rsidR="002E3FA8" w:rsidRDefault="005F28D9" w14:paraId="64AF0716" w14:textId="77777777">
            <w:pPr>
              <w:jc w:val="left"/>
              <w:rPr>
                <w:rFonts w:cs="Arial"/>
                <w:szCs w:val="20"/>
              </w:rPr>
            </w:pPr>
            <w:r w:rsidRPr="006D1556">
              <w:rPr>
                <w:rFonts w:cs="Arial"/>
                <w:szCs w:val="20"/>
              </w:rPr>
              <w:t>+126.35%</w:t>
            </w:r>
          </w:p>
        </w:tc>
        <w:tc>
          <w:tcPr>
            <w:tcW w:w="4752" w:type="dxa"/>
            <w:vAlign w:val="center"/>
          </w:tcPr>
          <w:p w:rsidR="001A3CEC" w:rsidP="005D642B" w:rsidRDefault="005F28D9" w14:paraId="196C824B" w14:textId="77777777">
            <w:pPr>
              <w:rPr>
                <w:rFonts w:cs="Arial"/>
                <w:szCs w:val="20"/>
                <w:lang w:val="es-CO"/>
              </w:rPr>
            </w:pPr>
            <w:r w:rsidRPr="006D1556">
              <w:rPr>
                <w:rFonts w:cs="Arial"/>
                <w:szCs w:val="20"/>
                <w:lang w:val="es-CO"/>
              </w:rPr>
              <w:t xml:space="preserve">Transformación psicosocial: 374 usuarios adicionales acceden a gestión de barreras de acceso. </w:t>
            </w:r>
          </w:p>
          <w:p w:rsidRPr="00846AFF" w:rsidR="002E3FA8" w:rsidP="005D642B" w:rsidRDefault="005F28D9" w14:paraId="29AFBD1F" w14:textId="20BD4E2B">
            <w:pPr>
              <w:rPr>
                <w:rFonts w:cs="Arial"/>
                <w:szCs w:val="20"/>
                <w:lang w:val="es-CO"/>
              </w:rPr>
            </w:pPr>
            <w:r w:rsidRPr="00846AFF">
              <w:rPr>
                <w:rFonts w:cs="Arial"/>
                <w:szCs w:val="20"/>
                <w:lang w:val="es-CO"/>
              </w:rPr>
              <w:t>Oportunidad = atención a determinantes sociales</w:t>
            </w:r>
          </w:p>
        </w:tc>
      </w:tr>
      <w:tr w:rsidRPr="00846AFF" w:rsidR="002E3FA8" w:rsidTr="005D642B" w14:paraId="1A763145" w14:textId="77777777">
        <w:trPr>
          <w:jc w:val="center"/>
        </w:trPr>
        <w:tc>
          <w:tcPr>
            <w:tcW w:w="1728" w:type="dxa"/>
            <w:vAlign w:val="center"/>
          </w:tcPr>
          <w:p w:rsidRPr="006D1556" w:rsidR="002E3FA8" w:rsidRDefault="005F28D9" w14:paraId="035A7B2F" w14:textId="77777777">
            <w:pPr>
              <w:jc w:val="left"/>
              <w:rPr>
                <w:rFonts w:cs="Arial"/>
                <w:szCs w:val="20"/>
              </w:rPr>
            </w:pPr>
            <w:proofErr w:type="spellStart"/>
            <w:r w:rsidRPr="006D1556">
              <w:rPr>
                <w:rFonts w:cs="Arial"/>
                <w:szCs w:val="20"/>
              </w:rPr>
              <w:t>Psicología</w:t>
            </w:r>
            <w:proofErr w:type="spellEnd"/>
          </w:p>
        </w:tc>
        <w:tc>
          <w:tcPr>
            <w:tcW w:w="1008" w:type="dxa"/>
            <w:vAlign w:val="center"/>
          </w:tcPr>
          <w:p w:rsidRPr="006D1556" w:rsidR="002E3FA8" w:rsidRDefault="005F28D9" w14:paraId="41347904" w14:textId="77777777">
            <w:pPr>
              <w:jc w:val="left"/>
              <w:rPr>
                <w:rFonts w:cs="Arial"/>
                <w:szCs w:val="20"/>
              </w:rPr>
            </w:pPr>
            <w:r w:rsidRPr="006D1556">
              <w:rPr>
                <w:rFonts w:cs="Arial"/>
                <w:szCs w:val="20"/>
              </w:rPr>
              <w:t>4.639</w:t>
            </w:r>
          </w:p>
        </w:tc>
        <w:tc>
          <w:tcPr>
            <w:tcW w:w="1008" w:type="dxa"/>
            <w:vAlign w:val="center"/>
          </w:tcPr>
          <w:p w:rsidRPr="006D1556" w:rsidR="002E3FA8" w:rsidRDefault="005F28D9" w14:paraId="1513581C" w14:textId="77777777">
            <w:pPr>
              <w:jc w:val="left"/>
              <w:rPr>
                <w:rFonts w:cs="Arial"/>
                <w:szCs w:val="20"/>
              </w:rPr>
            </w:pPr>
            <w:r w:rsidRPr="006D1556">
              <w:rPr>
                <w:rFonts w:cs="Arial"/>
                <w:szCs w:val="20"/>
              </w:rPr>
              <w:t>4.343</w:t>
            </w:r>
          </w:p>
        </w:tc>
        <w:tc>
          <w:tcPr>
            <w:tcW w:w="1152" w:type="dxa"/>
            <w:vAlign w:val="center"/>
          </w:tcPr>
          <w:p w:rsidRPr="006D1556" w:rsidR="002E3FA8" w:rsidRDefault="005F28D9" w14:paraId="2227F2DB" w14:textId="77777777">
            <w:pPr>
              <w:jc w:val="left"/>
              <w:rPr>
                <w:rFonts w:cs="Arial"/>
                <w:szCs w:val="20"/>
              </w:rPr>
            </w:pPr>
            <w:r w:rsidRPr="006D1556">
              <w:rPr>
                <w:rFonts w:cs="Arial"/>
                <w:szCs w:val="20"/>
              </w:rPr>
              <w:t>-6.38%</w:t>
            </w:r>
          </w:p>
        </w:tc>
        <w:tc>
          <w:tcPr>
            <w:tcW w:w="4752" w:type="dxa"/>
            <w:vAlign w:val="center"/>
          </w:tcPr>
          <w:p w:rsidRPr="006D1556" w:rsidR="002E3FA8" w:rsidP="005D642B" w:rsidRDefault="005F28D9" w14:paraId="719C7660" w14:textId="77777777">
            <w:pPr>
              <w:rPr>
                <w:rFonts w:cs="Arial"/>
                <w:szCs w:val="20"/>
                <w:lang w:val="es-CO"/>
              </w:rPr>
            </w:pPr>
            <w:r w:rsidRPr="006D1556">
              <w:rPr>
                <w:rFonts w:cs="Arial"/>
                <w:szCs w:val="20"/>
                <w:lang w:val="es-CO"/>
              </w:rPr>
              <w:t>Contención por techos EAPB, pero compensada con expansión trabajo social</w:t>
            </w:r>
          </w:p>
        </w:tc>
      </w:tr>
      <w:tr w:rsidRPr="00846AFF" w:rsidR="002E3FA8" w:rsidTr="005D642B" w14:paraId="11CFAC81" w14:textId="77777777">
        <w:trPr>
          <w:jc w:val="center"/>
        </w:trPr>
        <w:tc>
          <w:tcPr>
            <w:tcW w:w="1728" w:type="dxa"/>
            <w:vAlign w:val="center"/>
          </w:tcPr>
          <w:p w:rsidRPr="006D1556" w:rsidR="002E3FA8" w:rsidRDefault="005F28D9" w14:paraId="434CE93A" w14:textId="77777777">
            <w:pPr>
              <w:jc w:val="left"/>
              <w:rPr>
                <w:rFonts w:cs="Arial"/>
                <w:szCs w:val="20"/>
              </w:rPr>
            </w:pPr>
            <w:proofErr w:type="spellStart"/>
            <w:r w:rsidRPr="006D1556">
              <w:rPr>
                <w:rFonts w:cs="Arial"/>
                <w:szCs w:val="20"/>
              </w:rPr>
              <w:t>Urgencias</w:t>
            </w:r>
            <w:proofErr w:type="spellEnd"/>
            <w:r w:rsidRPr="006D1556">
              <w:rPr>
                <w:rFonts w:cs="Arial"/>
                <w:szCs w:val="20"/>
              </w:rPr>
              <w:t xml:space="preserve"> (</w:t>
            </w:r>
            <w:proofErr w:type="spellStart"/>
            <w:r w:rsidRPr="006D1556">
              <w:rPr>
                <w:rFonts w:cs="Arial"/>
                <w:szCs w:val="20"/>
              </w:rPr>
              <w:t>generales</w:t>
            </w:r>
            <w:proofErr w:type="spellEnd"/>
            <w:r w:rsidRPr="006D1556">
              <w:rPr>
                <w:rFonts w:cs="Arial"/>
                <w:szCs w:val="20"/>
              </w:rPr>
              <w:t>)</w:t>
            </w:r>
          </w:p>
        </w:tc>
        <w:tc>
          <w:tcPr>
            <w:tcW w:w="1008" w:type="dxa"/>
            <w:vAlign w:val="center"/>
          </w:tcPr>
          <w:p w:rsidRPr="006D1556" w:rsidR="002E3FA8" w:rsidRDefault="005F28D9" w14:paraId="789C22A5" w14:textId="77777777">
            <w:pPr>
              <w:jc w:val="left"/>
              <w:rPr>
                <w:rFonts w:cs="Arial"/>
                <w:szCs w:val="20"/>
              </w:rPr>
            </w:pPr>
            <w:r w:rsidRPr="006D1556">
              <w:rPr>
                <w:rFonts w:cs="Arial"/>
                <w:szCs w:val="20"/>
              </w:rPr>
              <w:t>25.995</w:t>
            </w:r>
          </w:p>
        </w:tc>
        <w:tc>
          <w:tcPr>
            <w:tcW w:w="1008" w:type="dxa"/>
            <w:vAlign w:val="center"/>
          </w:tcPr>
          <w:p w:rsidRPr="006D1556" w:rsidR="002E3FA8" w:rsidRDefault="005F28D9" w14:paraId="18EA0636" w14:textId="77777777">
            <w:pPr>
              <w:jc w:val="left"/>
              <w:rPr>
                <w:rFonts w:cs="Arial"/>
                <w:szCs w:val="20"/>
              </w:rPr>
            </w:pPr>
            <w:r w:rsidRPr="006D1556">
              <w:rPr>
                <w:rFonts w:cs="Arial"/>
                <w:szCs w:val="20"/>
              </w:rPr>
              <w:t>23.197</w:t>
            </w:r>
          </w:p>
        </w:tc>
        <w:tc>
          <w:tcPr>
            <w:tcW w:w="1152" w:type="dxa"/>
            <w:vAlign w:val="center"/>
          </w:tcPr>
          <w:p w:rsidRPr="006D1556" w:rsidR="002E3FA8" w:rsidRDefault="005F28D9" w14:paraId="64FCF93E" w14:textId="77777777">
            <w:pPr>
              <w:jc w:val="left"/>
              <w:rPr>
                <w:rFonts w:cs="Arial"/>
                <w:szCs w:val="20"/>
              </w:rPr>
            </w:pPr>
            <w:r w:rsidRPr="006D1556">
              <w:rPr>
                <w:rFonts w:cs="Arial"/>
                <w:szCs w:val="20"/>
              </w:rPr>
              <w:t>-10.76%</w:t>
            </w:r>
          </w:p>
        </w:tc>
        <w:tc>
          <w:tcPr>
            <w:tcW w:w="4752" w:type="dxa"/>
            <w:vAlign w:val="center"/>
          </w:tcPr>
          <w:p w:rsidRPr="006D1556" w:rsidR="002E3FA8" w:rsidP="005D642B" w:rsidRDefault="005F28D9" w14:paraId="57F29F21" w14:textId="77777777">
            <w:pPr>
              <w:rPr>
                <w:rFonts w:cs="Arial"/>
                <w:szCs w:val="20"/>
                <w:lang w:val="es-CO"/>
              </w:rPr>
            </w:pPr>
            <w:r w:rsidRPr="006D1556">
              <w:rPr>
                <w:rFonts w:cs="Arial"/>
                <w:szCs w:val="20"/>
                <w:lang w:val="es-CO"/>
              </w:rPr>
              <w:t>Requiere análisis: ¿Reducción = mejora en salud poblacional o limitación operativa?</w:t>
            </w:r>
          </w:p>
        </w:tc>
      </w:tr>
    </w:tbl>
    <w:p w:rsidRPr="006D1556" w:rsidR="00137D2A" w:rsidP="10C93EC1" w:rsidRDefault="00137D2A" w14:paraId="6A0B400B" w14:textId="51C8F642">
      <w:pPr>
        <w:spacing w:after="60"/>
        <w:rPr>
          <w:rFonts w:cs="Arial"/>
          <w:b/>
          <w:bCs/>
          <w:i/>
          <w:iCs/>
          <w:color w:val="7F7F7F" w:themeColor="text1" w:themeTint="80"/>
          <w:sz w:val="18"/>
          <w:szCs w:val="18"/>
          <w:lang w:val="es-MX"/>
        </w:rPr>
      </w:pPr>
      <w:r w:rsidRPr="10C93EC1">
        <w:rPr>
          <w:rFonts w:cs="Arial"/>
          <w:b/>
          <w:bCs/>
          <w:i/>
          <w:iCs/>
          <w:color w:val="7F7F7F" w:themeColor="text1" w:themeTint="80"/>
          <w:sz w:val="18"/>
          <w:szCs w:val="18"/>
          <w:lang w:val="es-CO"/>
        </w:rPr>
        <w:t xml:space="preserve">Fuente: </w:t>
      </w:r>
      <w:hyperlink r:id="rId8">
        <w:r w:rsidRPr="10C93EC1">
          <w:rPr>
            <w:rFonts w:cs="Arial"/>
            <w:b/>
            <w:bCs/>
            <w:i/>
            <w:iCs/>
            <w:color w:val="7F7F7F" w:themeColor="text1" w:themeTint="80"/>
            <w:sz w:val="18"/>
            <w:szCs w:val="18"/>
            <w:lang w:val="es-CO"/>
          </w:rPr>
          <w:t xml:space="preserve">Sistema de información institucional </w:t>
        </w:r>
      </w:hyperlink>
      <w:r w:rsidRPr="10C93EC1">
        <w:rPr>
          <w:rFonts w:cs="Arial"/>
          <w:b/>
          <w:bCs/>
          <w:i/>
          <w:iCs/>
          <w:color w:val="7F7F7F" w:themeColor="text1" w:themeTint="80"/>
          <w:sz w:val="18"/>
          <w:szCs w:val="18"/>
          <w:lang w:val="es-CO"/>
        </w:rPr>
        <w:t>–</w:t>
      </w:r>
      <w:r w:rsidRPr="10C93EC1">
        <w:rPr>
          <w:rFonts w:cs="Arial"/>
          <w:b/>
          <w:bCs/>
          <w:i/>
          <w:iCs/>
          <w:color w:val="7F7F7F" w:themeColor="text1" w:themeTint="80"/>
          <w:sz w:val="18"/>
          <w:szCs w:val="18"/>
          <w:lang w:val="es-MX"/>
        </w:rPr>
        <w:t xml:space="preserve"> SERVINTE. </w:t>
      </w:r>
    </w:p>
    <w:p w:rsidRPr="006D1556" w:rsidR="006D1556" w:rsidP="001A3CEC" w:rsidRDefault="006D1556" w14:paraId="58F26D33" w14:textId="77777777">
      <w:pPr>
        <w:rPr>
          <w:rFonts w:cs="Arial"/>
          <w:szCs w:val="20"/>
          <w:lang w:val="es-CO"/>
        </w:rPr>
      </w:pPr>
    </w:p>
    <w:p w:rsidRPr="001A3CEC" w:rsidR="002E3FA8" w:rsidP="001A3CEC" w:rsidRDefault="00C96243" w14:paraId="14735577" w14:textId="59C0EA89">
      <w:pPr>
        <w:rPr>
          <w:rFonts w:cs="Arial"/>
          <w:b/>
          <w:szCs w:val="20"/>
          <w:lang w:val="es-CO"/>
        </w:rPr>
      </w:pPr>
      <w:r w:rsidRPr="001A3CEC">
        <w:rPr>
          <w:rFonts w:cs="Arial"/>
          <w:b/>
          <w:szCs w:val="20"/>
          <w:lang w:val="es-CO"/>
        </w:rPr>
        <w:t>Del comportamiento observado se destacan los siguientes hallazgos:</w:t>
      </w:r>
    </w:p>
    <w:p w:rsidRPr="006D1556" w:rsidR="002E3FA8" w:rsidP="00137D2A" w:rsidRDefault="005F28D9" w14:paraId="67197979" w14:textId="5A343086">
      <w:pPr>
        <w:pStyle w:val="ListParagraph"/>
        <w:numPr>
          <w:ilvl w:val="0"/>
          <w:numId w:val="10"/>
        </w:numPr>
        <w:spacing w:after="60"/>
        <w:rPr>
          <w:rFonts w:cs="Arial"/>
          <w:szCs w:val="20"/>
          <w:lang w:val="es-CO"/>
        </w:rPr>
      </w:pPr>
      <w:r w:rsidRPr="006D1556">
        <w:rPr>
          <w:rFonts w:cs="Arial"/>
          <w:szCs w:val="20"/>
          <w:lang w:val="es-CO"/>
        </w:rPr>
        <w:t>Medicina general se mantuvo estable en 169.022 consultas (+0.12%), consolidando acceso consistente en primer nivel.</w:t>
      </w:r>
    </w:p>
    <w:p w:rsidRPr="006D1556" w:rsidR="002E3FA8" w:rsidP="00137D2A" w:rsidRDefault="005F28D9" w14:paraId="57560207" w14:textId="44FC39EF">
      <w:pPr>
        <w:pStyle w:val="ListParagraph"/>
        <w:numPr>
          <w:ilvl w:val="0"/>
          <w:numId w:val="10"/>
        </w:numPr>
        <w:spacing w:after="60"/>
        <w:rPr>
          <w:rFonts w:cs="Arial"/>
          <w:szCs w:val="20"/>
          <w:lang w:val="es-CO"/>
        </w:rPr>
      </w:pPr>
      <w:r w:rsidRPr="006D1556">
        <w:rPr>
          <w:rFonts w:cs="Arial"/>
          <w:szCs w:val="20"/>
          <w:lang w:val="es-CO"/>
        </w:rPr>
        <w:t>Las atenciones de enfermería se fortalecieron en vigilancia materno-infantil (+2.99% prenatal/crecimiento-desarrollo) e intervenciones interdisciplinarias (+7.46% procedimientos), evidenciando mayor capacidad de resolución en primer nivel y reducción de derivaciones innecesarias.</w:t>
      </w:r>
    </w:p>
    <w:p w:rsidRPr="006D1556" w:rsidR="002E3FA8" w:rsidP="00B221FA" w:rsidRDefault="001A3CEC" w14:paraId="1B318EFB" w14:textId="77777777">
      <w:pPr>
        <w:pStyle w:val="ListParagraph"/>
        <w:numPr>
          <w:ilvl w:val="0"/>
          <w:numId w:val="10"/>
        </w:numPr>
        <w:rPr>
          <w:rFonts w:cs="Arial"/>
          <w:szCs w:val="20"/>
          <w:lang w:val="es-CO"/>
        </w:rPr>
      </w:pPr>
      <w:r w:rsidRPr="006D1556">
        <w:rPr>
          <w:rFonts w:cs="Arial"/>
          <w:szCs w:val="20"/>
          <w:lang w:val="es-CO"/>
        </w:rPr>
        <w:t xml:space="preserve">En gestión psicosocial, la Red </w:t>
      </w:r>
      <w:r w:rsidRPr="006D1556" w:rsidR="00B221FA">
        <w:rPr>
          <w:rFonts w:cs="Arial"/>
          <w:szCs w:val="20"/>
          <w:lang w:val="es-CO"/>
        </w:rPr>
        <w:t xml:space="preserve">ajustó la oferta </w:t>
      </w:r>
      <w:r w:rsidRPr="006D1556">
        <w:rPr>
          <w:rFonts w:cs="Arial"/>
          <w:szCs w:val="20"/>
          <w:lang w:val="es-CO"/>
        </w:rPr>
        <w:t xml:space="preserve">de psicología </w:t>
      </w:r>
      <w:r w:rsidRPr="006D1556" w:rsidR="00B221FA">
        <w:rPr>
          <w:rFonts w:cs="Arial"/>
          <w:szCs w:val="20"/>
          <w:lang w:val="es-CO"/>
        </w:rPr>
        <w:t>conforme a</w:t>
      </w:r>
      <w:r w:rsidRPr="006D1556">
        <w:rPr>
          <w:rFonts w:cs="Arial"/>
          <w:szCs w:val="20"/>
          <w:lang w:val="es-CO"/>
        </w:rPr>
        <w:t xml:space="preserve"> lo contratado por nota técnica y </w:t>
      </w:r>
      <w:r w:rsidRPr="006D1556" w:rsidR="00B221FA">
        <w:rPr>
          <w:rFonts w:cs="Arial"/>
          <w:szCs w:val="20"/>
          <w:lang w:val="es-CO"/>
        </w:rPr>
        <w:t xml:space="preserve">fortaleció las intervenciones de </w:t>
      </w:r>
      <w:r w:rsidRPr="006D1556">
        <w:rPr>
          <w:rFonts w:cs="Arial"/>
          <w:szCs w:val="20"/>
          <w:lang w:val="es-CO"/>
        </w:rPr>
        <w:t>trabajo social</w:t>
      </w:r>
      <w:r w:rsidRPr="006D1556" w:rsidR="00B221FA">
        <w:rPr>
          <w:rFonts w:cs="Arial"/>
          <w:szCs w:val="20"/>
          <w:lang w:val="es-CO"/>
        </w:rPr>
        <w:t xml:space="preserve">. Este cambio permitió avanzar hacia un </w:t>
      </w:r>
      <w:r w:rsidRPr="006D1556">
        <w:rPr>
          <w:rFonts w:cs="Arial"/>
          <w:szCs w:val="20"/>
          <w:lang w:val="es-CO"/>
        </w:rPr>
        <w:t>abordaje integral</w:t>
      </w:r>
      <w:r w:rsidRPr="006D1556" w:rsidR="00B221FA">
        <w:rPr>
          <w:rFonts w:cs="Arial"/>
          <w:szCs w:val="20"/>
          <w:lang w:val="es-CO"/>
        </w:rPr>
        <w:t xml:space="preserve"> de barreras de acceso, determinantes sociales y acompañamiento a</w:t>
      </w:r>
      <w:r w:rsidRPr="006D1556">
        <w:rPr>
          <w:rFonts w:cs="Arial"/>
          <w:szCs w:val="20"/>
          <w:lang w:val="es-CO"/>
        </w:rPr>
        <w:t xml:space="preserve"> la población a cargo de la </w:t>
      </w:r>
      <w:r w:rsidRPr="006D1556" w:rsidR="00B221FA">
        <w:rPr>
          <w:rFonts w:cs="Arial"/>
          <w:szCs w:val="20"/>
          <w:lang w:val="es-CO"/>
        </w:rPr>
        <w:t>E.S.E</w:t>
      </w:r>
      <w:r w:rsidRPr="006D1556">
        <w:rPr>
          <w:rFonts w:cs="Arial"/>
          <w:szCs w:val="20"/>
          <w:lang w:val="es-CO"/>
        </w:rPr>
        <w:t>.</w:t>
      </w:r>
    </w:p>
    <w:p w:rsidRPr="006D1556" w:rsidR="002E3FA8" w:rsidP="002C0D72" w:rsidRDefault="002C0D72" w14:paraId="05EA4898" w14:textId="77777777">
      <w:pPr>
        <w:pStyle w:val="ListParagraph"/>
        <w:numPr>
          <w:ilvl w:val="0"/>
          <w:numId w:val="10"/>
        </w:numPr>
        <w:rPr>
          <w:rFonts w:cs="Arial"/>
          <w:szCs w:val="20"/>
          <w:lang w:val="es-CO"/>
        </w:rPr>
      </w:pPr>
      <w:r w:rsidRPr="006D1556">
        <w:rPr>
          <w:rFonts w:cs="Arial"/>
          <w:szCs w:val="20"/>
          <w:lang w:val="es-CO"/>
        </w:rPr>
        <w:t>En odontología, la disminución de consultas se interpreta en el marco de la modulación contractual por nota técnica. La institución priorizó procedimientos resolutivos y actividades preventivas en población de mayor riesgo, lo que permitió mantener el enfoque de salud bucal pese a la reducción del volumen global de consultas.</w:t>
      </w:r>
    </w:p>
    <w:p w:rsidRPr="006D1556" w:rsidR="002E3FA8" w:rsidP="00A128BE" w:rsidRDefault="00A128BE" w14:paraId="43B2261A" w14:textId="77777777">
      <w:pPr>
        <w:pStyle w:val="ListParagraph"/>
        <w:numPr>
          <w:ilvl w:val="0"/>
          <w:numId w:val="10"/>
        </w:numPr>
        <w:rPr>
          <w:rFonts w:cs="Arial"/>
          <w:szCs w:val="20"/>
          <w:lang w:val="es-CO"/>
        </w:rPr>
      </w:pPr>
      <w:r w:rsidRPr="006D1556">
        <w:rPr>
          <w:rFonts w:cs="Arial"/>
          <w:szCs w:val="20"/>
          <w:lang w:val="es-CO"/>
        </w:rPr>
        <w:t>La reducción de atenciones por urgencias (-10,76%) se relaciona con el fortalecimiento de la clasificación clínica y la orientación de usuarios hacia rutas ambulatorias cuando su condición no requería atención urgente, favoreciendo el uso adecuado del servicio y la priorización de casos de mayor complejidad.</w:t>
      </w:r>
    </w:p>
    <w:p w:rsidRPr="006D1556" w:rsidR="002E3FA8" w:rsidP="001A3CEC" w:rsidRDefault="001A3CEC" w14:paraId="137F5FD0" w14:textId="77777777">
      <w:pPr>
        <w:rPr>
          <w:rFonts w:cs="Arial"/>
          <w:szCs w:val="20"/>
          <w:lang w:val="es-CO"/>
        </w:rPr>
      </w:pPr>
      <w:r w:rsidRPr="006D1556">
        <w:rPr>
          <w:rFonts w:cs="Arial"/>
          <w:i/>
          <w:szCs w:val="20"/>
          <w:lang w:val="es-CO"/>
        </w:rPr>
        <w:t xml:space="preserve">En síntesis, </w:t>
      </w:r>
      <w:r w:rsidRPr="006D1556" w:rsidR="008D0813">
        <w:rPr>
          <w:rFonts w:cs="Arial"/>
          <w:i/>
          <w:iCs/>
          <w:szCs w:val="20"/>
          <w:lang w:val="es-CO"/>
        </w:rPr>
        <w:t xml:space="preserve">la vigencia </w:t>
      </w:r>
      <w:r w:rsidRPr="006D1556">
        <w:rPr>
          <w:rFonts w:cs="Arial"/>
          <w:i/>
          <w:szCs w:val="20"/>
          <w:lang w:val="es-CO"/>
        </w:rPr>
        <w:t xml:space="preserve">2025 </w:t>
      </w:r>
      <w:r w:rsidRPr="006D1556" w:rsidR="008D0813">
        <w:rPr>
          <w:rFonts w:cs="Arial"/>
          <w:i/>
          <w:iCs/>
          <w:szCs w:val="20"/>
          <w:lang w:val="es-CO"/>
        </w:rPr>
        <w:t>evidencia la consolidación de un</w:t>
      </w:r>
      <w:r w:rsidRPr="006D1556">
        <w:rPr>
          <w:rFonts w:cs="Arial"/>
          <w:i/>
          <w:szCs w:val="20"/>
          <w:lang w:val="es-CO"/>
        </w:rPr>
        <w:t xml:space="preserve"> modelo de atención integral </w:t>
      </w:r>
      <w:r w:rsidRPr="006D1556" w:rsidR="008D0813">
        <w:rPr>
          <w:rFonts w:cs="Arial"/>
          <w:i/>
          <w:iCs/>
          <w:szCs w:val="20"/>
          <w:lang w:val="es-CO"/>
        </w:rPr>
        <w:t>orientado a la</w:t>
      </w:r>
      <w:r w:rsidRPr="006D1556">
        <w:rPr>
          <w:rFonts w:cs="Arial"/>
          <w:i/>
          <w:szCs w:val="20"/>
          <w:lang w:val="es-CO"/>
        </w:rPr>
        <w:t xml:space="preserve"> continuidad </w:t>
      </w:r>
      <w:r w:rsidRPr="006D1556" w:rsidR="008D0813">
        <w:rPr>
          <w:rFonts w:cs="Arial"/>
          <w:i/>
          <w:iCs/>
          <w:szCs w:val="20"/>
          <w:lang w:val="es-CO"/>
        </w:rPr>
        <w:t>del</w:t>
      </w:r>
      <w:r w:rsidRPr="006D1556">
        <w:rPr>
          <w:rFonts w:cs="Arial"/>
          <w:i/>
          <w:szCs w:val="20"/>
          <w:lang w:val="es-CO"/>
        </w:rPr>
        <w:t xml:space="preserve"> cuidado, </w:t>
      </w:r>
      <w:r w:rsidRPr="006D1556" w:rsidR="008D0813">
        <w:rPr>
          <w:rFonts w:cs="Arial"/>
          <w:i/>
          <w:iCs/>
          <w:szCs w:val="20"/>
          <w:lang w:val="es-CO"/>
        </w:rPr>
        <w:t xml:space="preserve">la </w:t>
      </w:r>
      <w:r w:rsidRPr="006D1556">
        <w:rPr>
          <w:rFonts w:cs="Arial"/>
          <w:i/>
          <w:szCs w:val="20"/>
          <w:lang w:val="es-CO"/>
        </w:rPr>
        <w:t xml:space="preserve">resolutividad en </w:t>
      </w:r>
      <w:r w:rsidRPr="006D1556" w:rsidR="008D0813">
        <w:rPr>
          <w:rFonts w:cs="Arial"/>
          <w:i/>
          <w:iCs/>
          <w:szCs w:val="20"/>
          <w:lang w:val="es-CO"/>
        </w:rPr>
        <w:t xml:space="preserve">el </w:t>
      </w:r>
      <w:r w:rsidRPr="006D1556">
        <w:rPr>
          <w:rFonts w:cs="Arial"/>
          <w:i/>
          <w:szCs w:val="20"/>
          <w:lang w:val="es-CO"/>
        </w:rPr>
        <w:t xml:space="preserve">primer nivel, </w:t>
      </w:r>
      <w:r w:rsidRPr="006D1556" w:rsidR="008D0813">
        <w:rPr>
          <w:rFonts w:cs="Arial"/>
          <w:i/>
          <w:iCs/>
          <w:szCs w:val="20"/>
          <w:lang w:val="es-CO"/>
        </w:rPr>
        <w:t xml:space="preserve">la </w:t>
      </w:r>
      <w:r w:rsidRPr="006D1556">
        <w:rPr>
          <w:rFonts w:cs="Arial"/>
          <w:i/>
          <w:szCs w:val="20"/>
          <w:lang w:val="es-CO"/>
        </w:rPr>
        <w:t xml:space="preserve">gestión psicosocial y </w:t>
      </w:r>
      <w:r w:rsidRPr="006D1556" w:rsidR="008D0813">
        <w:rPr>
          <w:rFonts w:cs="Arial"/>
          <w:i/>
          <w:iCs/>
          <w:szCs w:val="20"/>
          <w:lang w:val="es-CO"/>
        </w:rPr>
        <w:t xml:space="preserve">el </w:t>
      </w:r>
      <w:r w:rsidRPr="006D1556">
        <w:rPr>
          <w:rFonts w:cs="Arial"/>
          <w:i/>
          <w:szCs w:val="20"/>
          <w:lang w:val="es-CO"/>
        </w:rPr>
        <w:t>abordaje de determinantes sociales</w:t>
      </w:r>
      <w:r w:rsidRPr="006D1556" w:rsidR="008D0813">
        <w:rPr>
          <w:rFonts w:cs="Arial"/>
          <w:i/>
          <w:iCs/>
          <w:szCs w:val="20"/>
          <w:lang w:val="es-CO"/>
        </w:rPr>
        <w:t>. Este desempeño se articuló con</w:t>
      </w:r>
      <w:r w:rsidRPr="006D1556">
        <w:rPr>
          <w:rFonts w:cs="Arial"/>
          <w:i/>
          <w:szCs w:val="20"/>
          <w:lang w:val="es-CO"/>
        </w:rPr>
        <w:t xml:space="preserve"> criterios de racionalización del gasto, responsabilidad social, </w:t>
      </w:r>
      <w:r w:rsidRPr="006D1556" w:rsidR="008D0813">
        <w:rPr>
          <w:rFonts w:cs="Arial"/>
          <w:i/>
          <w:iCs/>
          <w:szCs w:val="20"/>
          <w:lang w:val="es-CO"/>
        </w:rPr>
        <w:t>mejora continua y preparación institucional para</w:t>
      </w:r>
      <w:r w:rsidRPr="006D1556">
        <w:rPr>
          <w:rFonts w:cs="Arial"/>
          <w:i/>
          <w:szCs w:val="20"/>
          <w:lang w:val="es-CO"/>
        </w:rPr>
        <w:t xml:space="preserve"> estándares de </w:t>
      </w:r>
      <w:r w:rsidRPr="006D1556" w:rsidR="008D0813">
        <w:rPr>
          <w:rFonts w:cs="Arial"/>
          <w:i/>
          <w:iCs/>
          <w:szCs w:val="20"/>
          <w:lang w:val="es-CO"/>
        </w:rPr>
        <w:t>acreditación</w:t>
      </w:r>
      <w:r w:rsidRPr="006D1556">
        <w:rPr>
          <w:rFonts w:cs="Arial"/>
          <w:i/>
          <w:szCs w:val="20"/>
          <w:lang w:val="es-CO"/>
        </w:rPr>
        <w:t>.</w:t>
      </w:r>
    </w:p>
    <w:p w:rsidRPr="006D1556" w:rsidR="006D1556" w:rsidRDefault="006D1556" w14:paraId="2047E05E" w14:textId="77777777">
      <w:pPr>
        <w:spacing w:after="60"/>
        <w:rPr>
          <w:rFonts w:cs="Arial"/>
          <w:b/>
          <w:szCs w:val="20"/>
          <w:lang w:val="es-CO"/>
        </w:rPr>
      </w:pPr>
    </w:p>
    <w:p w:rsidRPr="006D1556" w:rsidR="002E3FA8" w:rsidRDefault="005F28D9" w14:paraId="5749CE58" w14:textId="675418CA">
      <w:pPr>
        <w:spacing w:after="60"/>
        <w:rPr>
          <w:rFonts w:cs="Arial"/>
          <w:szCs w:val="20"/>
          <w:lang w:val="es-CO"/>
        </w:rPr>
      </w:pPr>
      <w:r w:rsidRPr="006D1556">
        <w:rPr>
          <w:rFonts w:cs="Arial"/>
          <w:b/>
          <w:szCs w:val="20"/>
          <w:lang w:val="es-CO"/>
        </w:rPr>
        <w:t>Consulta Médica Especializada Comparativo 2024 – 2025:</w:t>
      </w:r>
    </w:p>
    <w:p w:rsidRPr="006D1556" w:rsidR="002E3FA8" w:rsidP="001A3CEC" w:rsidRDefault="001A3CEC" w14:paraId="6165D0F5" w14:textId="77777777">
      <w:r w:rsidRPr="10C93EC1">
        <w:rPr>
          <w:rFonts w:cs="Arial"/>
          <w:lang w:val="es-CO"/>
        </w:rPr>
        <w:t xml:space="preserve">La Red de Salud del Centro E.S.E. </w:t>
      </w:r>
      <w:r w:rsidRPr="10C93EC1" w:rsidR="00612235">
        <w:rPr>
          <w:rFonts w:cs="Arial"/>
          <w:lang w:val="es-CO"/>
        </w:rPr>
        <w:t>fortaleció</w:t>
      </w:r>
      <w:r w:rsidRPr="10C93EC1">
        <w:rPr>
          <w:rFonts w:cs="Arial"/>
          <w:lang w:val="es-CO"/>
        </w:rPr>
        <w:t xml:space="preserve"> su modelo de atención especializada </w:t>
      </w:r>
      <w:r w:rsidRPr="10C93EC1" w:rsidR="00612235">
        <w:rPr>
          <w:rFonts w:cs="Arial"/>
          <w:lang w:val="es-CO"/>
        </w:rPr>
        <w:t>con enfoque familiar</w:t>
      </w:r>
      <w:r w:rsidRPr="10C93EC1">
        <w:rPr>
          <w:rFonts w:cs="Arial"/>
          <w:lang w:val="es-CO"/>
        </w:rPr>
        <w:t xml:space="preserve"> e </w:t>
      </w:r>
      <w:r w:rsidRPr="10C93EC1" w:rsidR="00612235">
        <w:rPr>
          <w:rFonts w:cs="Arial"/>
          <w:lang w:val="es-CO"/>
        </w:rPr>
        <w:t>integral. El comportamiento de la producción</w:t>
      </w:r>
      <w:r w:rsidRPr="10C93EC1">
        <w:rPr>
          <w:rFonts w:cs="Arial"/>
          <w:lang w:val="es-CO"/>
        </w:rPr>
        <w:t xml:space="preserve"> por especialidad </w:t>
      </w:r>
      <w:r w:rsidRPr="10C93EC1" w:rsidR="00612235">
        <w:rPr>
          <w:rFonts w:cs="Arial"/>
          <w:lang w:val="es-CO"/>
        </w:rPr>
        <w:t>permite identificar avances</w:t>
      </w:r>
      <w:r w:rsidRPr="10C93EC1">
        <w:rPr>
          <w:rFonts w:cs="Arial"/>
          <w:lang w:val="es-CO"/>
        </w:rPr>
        <w:t xml:space="preserve"> en continuidad del cuidado</w:t>
      </w:r>
      <w:r w:rsidRPr="10C93EC1" w:rsidR="00612235">
        <w:rPr>
          <w:rFonts w:cs="Arial"/>
          <w:lang w:val="es-CO"/>
        </w:rPr>
        <w:t>, atención a condiciones crónicas, salud sexual y reproductiva, seguridad materno-perinatal y atención pediátrica</w:t>
      </w:r>
      <w:r w:rsidRPr="10C93EC1">
        <w:rPr>
          <w:rFonts w:cs="Arial"/>
          <w:lang w:val="es-CO"/>
        </w:rPr>
        <w:t>.</w:t>
      </w:r>
    </w:p>
    <w:p w:rsidR="10C93EC1" w:rsidP="10C93EC1" w:rsidRDefault="10C93EC1" w14:paraId="68E49133" w14:textId="7C0DFAA4">
      <w:pPr>
        <w:rPr>
          <w:rFonts w:cs="Arial"/>
          <w:lang w:val="es-CO"/>
        </w:rPr>
      </w:pPr>
    </w:p>
    <w:p w:rsidR="10C93EC1" w:rsidP="10C93EC1" w:rsidRDefault="10C93EC1" w14:paraId="0A0EE115" w14:textId="56E70067">
      <w:pPr>
        <w:rPr>
          <w:rFonts w:cs="Arial"/>
          <w:lang w:val="es-CO"/>
        </w:rPr>
      </w:pPr>
    </w:p>
    <w:p w:rsidR="10C93EC1" w:rsidP="10C93EC1" w:rsidRDefault="10C93EC1" w14:paraId="3571AD12" w14:textId="288EFFC5">
      <w:pPr>
        <w:rPr>
          <w:rFonts w:cs="Arial"/>
          <w:lang w:val="es-CO"/>
        </w:rPr>
      </w:pPr>
    </w:p>
    <w:p w:rsidR="10C93EC1" w:rsidP="10C93EC1" w:rsidRDefault="10C93EC1" w14:paraId="1C11367C" w14:textId="57163659">
      <w:pPr>
        <w:rPr>
          <w:rFonts w:cs="Arial"/>
          <w:lang w:val="es-CO"/>
        </w:rPr>
      </w:pPr>
    </w:p>
    <w:p w:rsidR="10C93EC1" w:rsidP="10C93EC1" w:rsidRDefault="10C93EC1" w14:paraId="0AF29573" w14:textId="70909FEF">
      <w:pPr>
        <w:rPr>
          <w:rFonts w:cs="Arial"/>
          <w:lang w:val="es-CO"/>
        </w:rPr>
      </w:pPr>
    </w:p>
    <w:p w:rsidR="10C93EC1" w:rsidP="10C93EC1" w:rsidRDefault="10C93EC1" w14:paraId="10055E70" w14:textId="23C22EF6">
      <w:pPr>
        <w:rPr>
          <w:rFonts w:cs="Arial"/>
          <w:lang w:val="es-CO"/>
        </w:rPr>
      </w:pPr>
    </w:p>
    <w:p w:rsidRPr="006D1556" w:rsidR="002E3FA8" w:rsidP="10C93EC1" w:rsidRDefault="001A3CEC" w14:paraId="7612DE5A" w14:textId="10171659">
      <w:pPr>
        <w:rPr>
          <w:rFonts w:cs="Arial"/>
          <w:b/>
          <w:bCs/>
          <w:lang w:val="es-CO"/>
        </w:rPr>
      </w:pPr>
      <w:r w:rsidRPr="10C93EC1">
        <w:rPr>
          <w:rFonts w:cs="Arial"/>
          <w:b/>
          <w:bCs/>
          <w:lang w:val="es-CO"/>
        </w:rPr>
        <w:t xml:space="preserve">Tabla </w:t>
      </w:r>
      <w:r w:rsidRPr="10C93EC1" w:rsidR="00B702D6">
        <w:rPr>
          <w:rFonts w:cs="Arial"/>
          <w:b/>
          <w:bCs/>
          <w:lang w:val="es-CO"/>
        </w:rPr>
        <w:t>2</w:t>
      </w:r>
      <w:r w:rsidRPr="10C93EC1">
        <w:rPr>
          <w:rFonts w:cs="Arial"/>
          <w:b/>
          <w:bCs/>
          <w:lang w:val="es-CO"/>
        </w:rPr>
        <w:t>. Comparativo de la producción de servicios de consulta ambulatoria especializada, 2024 vs. 2025</w:t>
      </w:r>
    </w:p>
    <w:tbl>
      <w:tblPr>
        <w:tblStyle w:val="TableGrid"/>
        <w:tblW w:w="0" w:type="auto"/>
        <w:tblLook w:val="04A0" w:firstRow="1" w:lastRow="0" w:firstColumn="1" w:lastColumn="0" w:noHBand="0" w:noVBand="1"/>
      </w:tblPr>
      <w:tblGrid>
        <w:gridCol w:w="1728"/>
        <w:gridCol w:w="864"/>
        <w:gridCol w:w="864"/>
        <w:gridCol w:w="1152"/>
        <w:gridCol w:w="5040"/>
      </w:tblGrid>
      <w:tr w:rsidRPr="006D1556" w:rsidR="002E3FA8" w:rsidTr="00B702D6" w14:paraId="62B31413" w14:textId="77777777">
        <w:trPr>
          <w:tblHeader/>
        </w:trPr>
        <w:tc>
          <w:tcPr>
            <w:tcW w:w="1728" w:type="dxa"/>
            <w:shd w:val="clear" w:color="auto" w:fill="1F3864"/>
            <w:vAlign w:val="center"/>
          </w:tcPr>
          <w:p w:rsidRPr="006D1556" w:rsidR="002E3FA8" w:rsidRDefault="005F28D9" w14:paraId="0B613E75" w14:textId="77777777">
            <w:pPr>
              <w:jc w:val="center"/>
              <w:rPr>
                <w:rFonts w:cs="Arial"/>
                <w:szCs w:val="20"/>
              </w:rPr>
            </w:pPr>
            <w:proofErr w:type="spellStart"/>
            <w:r w:rsidRPr="006D1556">
              <w:rPr>
                <w:rFonts w:cs="Arial"/>
                <w:b/>
                <w:color w:val="FFFFFF"/>
                <w:szCs w:val="20"/>
              </w:rPr>
              <w:t>Especialidad</w:t>
            </w:r>
            <w:proofErr w:type="spellEnd"/>
          </w:p>
        </w:tc>
        <w:tc>
          <w:tcPr>
            <w:tcW w:w="864" w:type="dxa"/>
            <w:shd w:val="clear" w:color="auto" w:fill="1F3864"/>
            <w:vAlign w:val="center"/>
          </w:tcPr>
          <w:p w:rsidRPr="006D1556" w:rsidR="002E3FA8" w:rsidRDefault="005F28D9" w14:paraId="2CA5CA39" w14:textId="77777777">
            <w:pPr>
              <w:jc w:val="center"/>
              <w:rPr>
                <w:rFonts w:cs="Arial"/>
                <w:szCs w:val="20"/>
              </w:rPr>
            </w:pPr>
            <w:r w:rsidRPr="006D1556">
              <w:rPr>
                <w:rFonts w:cs="Arial"/>
                <w:b/>
                <w:color w:val="FFFFFF"/>
                <w:szCs w:val="20"/>
              </w:rPr>
              <w:t>2024</w:t>
            </w:r>
          </w:p>
        </w:tc>
        <w:tc>
          <w:tcPr>
            <w:tcW w:w="864" w:type="dxa"/>
            <w:shd w:val="clear" w:color="auto" w:fill="1F3864"/>
            <w:vAlign w:val="center"/>
          </w:tcPr>
          <w:p w:rsidRPr="006D1556" w:rsidR="002E3FA8" w:rsidRDefault="005F28D9" w14:paraId="6F4BBDA1" w14:textId="77777777">
            <w:pPr>
              <w:jc w:val="center"/>
              <w:rPr>
                <w:rFonts w:cs="Arial"/>
                <w:szCs w:val="20"/>
              </w:rPr>
            </w:pPr>
            <w:r w:rsidRPr="006D1556">
              <w:rPr>
                <w:rFonts w:cs="Arial"/>
                <w:b/>
                <w:color w:val="FFFFFF"/>
                <w:szCs w:val="20"/>
              </w:rPr>
              <w:t>2025</w:t>
            </w:r>
          </w:p>
        </w:tc>
        <w:tc>
          <w:tcPr>
            <w:tcW w:w="1152" w:type="dxa"/>
            <w:shd w:val="clear" w:color="auto" w:fill="1F3864"/>
            <w:vAlign w:val="center"/>
          </w:tcPr>
          <w:p w:rsidRPr="006D1556" w:rsidR="002E3FA8" w:rsidRDefault="005F28D9" w14:paraId="47B6A9EC" w14:textId="77777777">
            <w:pPr>
              <w:jc w:val="center"/>
              <w:rPr>
                <w:rFonts w:cs="Arial"/>
                <w:szCs w:val="20"/>
              </w:rPr>
            </w:pPr>
            <w:r w:rsidRPr="006D1556">
              <w:rPr>
                <w:rFonts w:cs="Arial"/>
                <w:b/>
                <w:color w:val="FFFFFF"/>
                <w:szCs w:val="20"/>
              </w:rPr>
              <w:t>Variación</w:t>
            </w:r>
          </w:p>
        </w:tc>
        <w:tc>
          <w:tcPr>
            <w:tcW w:w="5040" w:type="dxa"/>
            <w:shd w:val="clear" w:color="auto" w:fill="1F3864"/>
            <w:vAlign w:val="center"/>
          </w:tcPr>
          <w:p w:rsidRPr="006D1556" w:rsidR="002E3FA8" w:rsidRDefault="005F28D9" w14:paraId="45A193E2" w14:textId="77777777">
            <w:pPr>
              <w:jc w:val="center"/>
              <w:rPr>
                <w:rFonts w:cs="Arial"/>
                <w:szCs w:val="20"/>
              </w:rPr>
            </w:pPr>
            <w:r w:rsidRPr="006D1556">
              <w:rPr>
                <w:rFonts w:cs="Arial"/>
                <w:b/>
                <w:color w:val="FFFFFF"/>
                <w:szCs w:val="20"/>
              </w:rPr>
              <w:t>Análisis de Oportunidad</w:t>
            </w:r>
          </w:p>
        </w:tc>
      </w:tr>
      <w:tr w:rsidRPr="00846AFF" w:rsidR="002E3FA8" w:rsidTr="00B702D6" w14:paraId="40E90776" w14:textId="77777777">
        <w:trPr>
          <w:tblHeader/>
        </w:trPr>
        <w:tc>
          <w:tcPr>
            <w:tcW w:w="1728" w:type="dxa"/>
            <w:vAlign w:val="center"/>
          </w:tcPr>
          <w:p w:rsidRPr="006D1556" w:rsidR="002E3FA8" w:rsidRDefault="005F28D9" w14:paraId="0B1607FA" w14:textId="77777777">
            <w:pPr>
              <w:jc w:val="left"/>
              <w:rPr>
                <w:rFonts w:cs="Arial"/>
                <w:szCs w:val="20"/>
              </w:rPr>
            </w:pPr>
            <w:r w:rsidRPr="006D1556">
              <w:rPr>
                <w:rFonts w:cs="Arial"/>
                <w:szCs w:val="20"/>
              </w:rPr>
              <w:t>Medicina Familiar</w:t>
            </w:r>
          </w:p>
        </w:tc>
        <w:tc>
          <w:tcPr>
            <w:tcW w:w="864" w:type="dxa"/>
            <w:vAlign w:val="center"/>
          </w:tcPr>
          <w:p w:rsidRPr="006D1556" w:rsidR="002E3FA8" w:rsidRDefault="005F28D9" w14:paraId="673CCAF3" w14:textId="77777777">
            <w:pPr>
              <w:jc w:val="left"/>
              <w:rPr>
                <w:rFonts w:cs="Arial"/>
                <w:szCs w:val="20"/>
              </w:rPr>
            </w:pPr>
            <w:r w:rsidRPr="006D1556">
              <w:rPr>
                <w:rFonts w:cs="Arial"/>
                <w:szCs w:val="20"/>
              </w:rPr>
              <w:t>6.230</w:t>
            </w:r>
          </w:p>
        </w:tc>
        <w:tc>
          <w:tcPr>
            <w:tcW w:w="864" w:type="dxa"/>
            <w:vAlign w:val="center"/>
          </w:tcPr>
          <w:p w:rsidRPr="006D1556" w:rsidR="002E3FA8" w:rsidRDefault="005F28D9" w14:paraId="2242B0E8" w14:textId="77777777">
            <w:pPr>
              <w:jc w:val="left"/>
              <w:rPr>
                <w:rFonts w:cs="Arial"/>
                <w:szCs w:val="20"/>
              </w:rPr>
            </w:pPr>
            <w:r w:rsidRPr="006D1556">
              <w:rPr>
                <w:rFonts w:cs="Arial"/>
                <w:szCs w:val="20"/>
              </w:rPr>
              <w:t>10.214</w:t>
            </w:r>
          </w:p>
        </w:tc>
        <w:tc>
          <w:tcPr>
            <w:tcW w:w="1152" w:type="dxa"/>
            <w:vAlign w:val="center"/>
          </w:tcPr>
          <w:p w:rsidRPr="006D1556" w:rsidR="002E3FA8" w:rsidRDefault="005F28D9" w14:paraId="73898BF2" w14:textId="77777777">
            <w:pPr>
              <w:jc w:val="left"/>
              <w:rPr>
                <w:rFonts w:cs="Arial"/>
                <w:szCs w:val="20"/>
              </w:rPr>
            </w:pPr>
            <w:r w:rsidRPr="006D1556">
              <w:rPr>
                <w:rFonts w:cs="Arial"/>
                <w:szCs w:val="20"/>
              </w:rPr>
              <w:t>+63.95%</w:t>
            </w:r>
          </w:p>
        </w:tc>
        <w:tc>
          <w:tcPr>
            <w:tcW w:w="5040" w:type="dxa"/>
            <w:vAlign w:val="center"/>
          </w:tcPr>
          <w:p w:rsidRPr="002155D0" w:rsidR="002E3FA8" w:rsidP="002155D0" w:rsidRDefault="001A3CEC" w14:paraId="7ECAB0AE" w14:textId="3B24CD68">
            <w:pPr>
              <w:rPr>
                <w:rFonts w:cs="Arial"/>
                <w:szCs w:val="20"/>
                <w:lang w:val="es-CO"/>
              </w:rPr>
            </w:pPr>
            <w:r w:rsidRPr="006D1556">
              <w:rPr>
                <w:rFonts w:cs="Arial"/>
                <w:szCs w:val="20"/>
                <w:lang w:val="es-CO"/>
              </w:rPr>
              <w:t xml:space="preserve">Crecimiento </w:t>
            </w:r>
            <w:r w:rsidRPr="002155D0" w:rsidR="002155D0">
              <w:rPr>
                <w:lang w:val="es-CO"/>
              </w:rPr>
              <w:t>significativo</w:t>
            </w:r>
            <w:r w:rsidRPr="006D1556">
              <w:rPr>
                <w:rFonts w:cs="Arial"/>
                <w:szCs w:val="20"/>
                <w:lang w:val="es-CO"/>
              </w:rPr>
              <w:t xml:space="preserve">; operacionalización visible del modelo familiar. </w:t>
            </w:r>
            <w:r w:rsidRPr="002155D0">
              <w:rPr>
                <w:rFonts w:cs="Arial"/>
                <w:szCs w:val="20"/>
                <w:lang w:val="es-CO"/>
              </w:rPr>
              <w:t>Medicina familiar articula</w:t>
            </w:r>
            <w:r w:rsidRPr="002155D0" w:rsidR="002155D0">
              <w:rPr>
                <w:lang w:val="es-CO"/>
              </w:rPr>
              <w:t xml:space="preserve"> la atención de</w:t>
            </w:r>
            <w:r w:rsidRPr="002155D0">
              <w:rPr>
                <w:rFonts w:cs="Arial"/>
                <w:szCs w:val="20"/>
                <w:lang w:val="es-CO"/>
              </w:rPr>
              <w:t xml:space="preserve"> medicina general </w:t>
            </w:r>
            <w:r w:rsidRPr="002155D0" w:rsidR="002155D0">
              <w:rPr>
                <w:lang w:val="es-CO"/>
              </w:rPr>
              <w:t xml:space="preserve">como puerta de </w:t>
            </w:r>
            <w:r w:rsidRPr="002155D0">
              <w:rPr>
                <w:rFonts w:cs="Arial"/>
                <w:szCs w:val="20"/>
                <w:lang w:val="es-CO"/>
              </w:rPr>
              <w:t>entrada</w:t>
            </w:r>
            <w:r w:rsidRPr="002155D0" w:rsidR="002155D0">
              <w:rPr>
                <w:lang w:val="es-CO"/>
              </w:rPr>
              <w:t>, la derivación pertinente a</w:t>
            </w:r>
            <w:r w:rsidRPr="002155D0">
              <w:rPr>
                <w:rFonts w:cs="Arial"/>
                <w:szCs w:val="20"/>
                <w:lang w:val="es-CO"/>
              </w:rPr>
              <w:t xml:space="preserve"> especialidades </w:t>
            </w:r>
            <w:r w:rsidRPr="002155D0" w:rsidR="002155D0">
              <w:rPr>
                <w:lang w:val="es-CO"/>
              </w:rPr>
              <w:t>y el</w:t>
            </w:r>
            <w:r w:rsidRPr="002155D0">
              <w:rPr>
                <w:rFonts w:cs="Arial"/>
                <w:szCs w:val="20"/>
                <w:lang w:val="es-CO"/>
              </w:rPr>
              <w:t xml:space="preserve"> seguimiento</w:t>
            </w:r>
            <w:r w:rsidRPr="002155D0" w:rsidR="002155D0">
              <w:rPr>
                <w:lang w:val="es-CO"/>
              </w:rPr>
              <w:t xml:space="preserve"> longitudinal del usuario</w:t>
            </w:r>
            <w:r w:rsidRPr="002155D0">
              <w:rPr>
                <w:rFonts w:cs="Arial"/>
                <w:szCs w:val="20"/>
                <w:lang w:val="es-CO"/>
              </w:rPr>
              <w:t>.</w:t>
            </w:r>
          </w:p>
        </w:tc>
      </w:tr>
      <w:tr w:rsidRPr="00846AFF" w:rsidR="002E3FA8" w:rsidTr="00B702D6" w14:paraId="523348D8" w14:textId="77777777">
        <w:trPr>
          <w:tblHeader/>
        </w:trPr>
        <w:tc>
          <w:tcPr>
            <w:tcW w:w="1728" w:type="dxa"/>
            <w:vAlign w:val="center"/>
          </w:tcPr>
          <w:p w:rsidRPr="006D1556" w:rsidR="002E3FA8" w:rsidRDefault="005F28D9" w14:paraId="46D00445" w14:textId="77777777">
            <w:pPr>
              <w:jc w:val="left"/>
              <w:rPr>
                <w:rFonts w:cs="Arial"/>
                <w:szCs w:val="20"/>
              </w:rPr>
            </w:pPr>
            <w:r w:rsidRPr="006D1556">
              <w:rPr>
                <w:rFonts w:cs="Arial"/>
                <w:szCs w:val="20"/>
              </w:rPr>
              <w:t>Medicina Interna</w:t>
            </w:r>
          </w:p>
        </w:tc>
        <w:tc>
          <w:tcPr>
            <w:tcW w:w="864" w:type="dxa"/>
            <w:vAlign w:val="center"/>
          </w:tcPr>
          <w:p w:rsidRPr="006D1556" w:rsidR="002E3FA8" w:rsidRDefault="005F28D9" w14:paraId="3540B311" w14:textId="77777777">
            <w:pPr>
              <w:jc w:val="left"/>
              <w:rPr>
                <w:rFonts w:cs="Arial"/>
                <w:szCs w:val="20"/>
              </w:rPr>
            </w:pPr>
            <w:r w:rsidRPr="006D1556">
              <w:rPr>
                <w:rFonts w:cs="Arial"/>
                <w:szCs w:val="20"/>
              </w:rPr>
              <w:t>8.842</w:t>
            </w:r>
          </w:p>
        </w:tc>
        <w:tc>
          <w:tcPr>
            <w:tcW w:w="864" w:type="dxa"/>
            <w:vAlign w:val="center"/>
          </w:tcPr>
          <w:p w:rsidRPr="006D1556" w:rsidR="002E3FA8" w:rsidRDefault="005F28D9" w14:paraId="0E227184" w14:textId="77777777">
            <w:pPr>
              <w:jc w:val="left"/>
              <w:rPr>
                <w:rFonts w:cs="Arial"/>
                <w:szCs w:val="20"/>
              </w:rPr>
            </w:pPr>
            <w:r w:rsidRPr="006D1556">
              <w:rPr>
                <w:rFonts w:cs="Arial"/>
                <w:szCs w:val="20"/>
              </w:rPr>
              <w:t>9.415</w:t>
            </w:r>
          </w:p>
        </w:tc>
        <w:tc>
          <w:tcPr>
            <w:tcW w:w="1152" w:type="dxa"/>
            <w:vAlign w:val="center"/>
          </w:tcPr>
          <w:p w:rsidRPr="006D1556" w:rsidR="002E3FA8" w:rsidRDefault="005F28D9" w14:paraId="5A697C5D" w14:textId="77777777">
            <w:pPr>
              <w:jc w:val="left"/>
              <w:rPr>
                <w:rFonts w:cs="Arial"/>
                <w:szCs w:val="20"/>
              </w:rPr>
            </w:pPr>
            <w:r w:rsidRPr="006D1556">
              <w:rPr>
                <w:rFonts w:cs="Arial"/>
                <w:szCs w:val="20"/>
              </w:rPr>
              <w:t>+6.5%</w:t>
            </w:r>
          </w:p>
        </w:tc>
        <w:tc>
          <w:tcPr>
            <w:tcW w:w="5040" w:type="dxa"/>
            <w:vAlign w:val="center"/>
          </w:tcPr>
          <w:p w:rsidRPr="006D1556" w:rsidR="002E3FA8" w:rsidP="005D642B" w:rsidRDefault="005F28D9" w14:paraId="1BD4EA75" w14:textId="77777777">
            <w:pPr>
              <w:rPr>
                <w:rFonts w:cs="Arial"/>
                <w:szCs w:val="20"/>
                <w:lang w:val="es-CO"/>
              </w:rPr>
            </w:pPr>
            <w:r w:rsidRPr="006D1556">
              <w:rPr>
                <w:rFonts w:cs="Arial"/>
                <w:szCs w:val="20"/>
                <w:lang w:val="es-CO"/>
              </w:rPr>
              <w:t>Crecimiento sostenido: cobertura de cronicidad mejorada. Oportunidad = acceso a especialización cardiovascular y metabólica</w:t>
            </w:r>
          </w:p>
        </w:tc>
      </w:tr>
      <w:tr w:rsidRPr="00846AFF" w:rsidR="002E3FA8" w:rsidTr="00B702D6" w14:paraId="4357DC27" w14:textId="77777777">
        <w:trPr>
          <w:tblHeader/>
        </w:trPr>
        <w:tc>
          <w:tcPr>
            <w:tcW w:w="1728" w:type="dxa"/>
            <w:vAlign w:val="center"/>
          </w:tcPr>
          <w:p w:rsidRPr="006D1556" w:rsidR="002E3FA8" w:rsidRDefault="005F28D9" w14:paraId="147E651B" w14:textId="77777777">
            <w:pPr>
              <w:jc w:val="left"/>
              <w:rPr>
                <w:rFonts w:cs="Arial"/>
                <w:szCs w:val="20"/>
              </w:rPr>
            </w:pPr>
            <w:proofErr w:type="spellStart"/>
            <w:r w:rsidRPr="006D1556">
              <w:rPr>
                <w:rFonts w:cs="Arial"/>
                <w:szCs w:val="20"/>
              </w:rPr>
              <w:t>Ginecología</w:t>
            </w:r>
            <w:proofErr w:type="spellEnd"/>
          </w:p>
        </w:tc>
        <w:tc>
          <w:tcPr>
            <w:tcW w:w="864" w:type="dxa"/>
            <w:vAlign w:val="center"/>
          </w:tcPr>
          <w:p w:rsidRPr="006D1556" w:rsidR="002E3FA8" w:rsidRDefault="005F28D9" w14:paraId="4FF98018" w14:textId="77777777">
            <w:pPr>
              <w:jc w:val="left"/>
              <w:rPr>
                <w:rFonts w:cs="Arial"/>
                <w:szCs w:val="20"/>
              </w:rPr>
            </w:pPr>
            <w:r w:rsidRPr="006D1556">
              <w:rPr>
                <w:rFonts w:cs="Arial"/>
                <w:szCs w:val="20"/>
              </w:rPr>
              <w:t>3.524</w:t>
            </w:r>
          </w:p>
        </w:tc>
        <w:tc>
          <w:tcPr>
            <w:tcW w:w="864" w:type="dxa"/>
            <w:vAlign w:val="center"/>
          </w:tcPr>
          <w:p w:rsidRPr="006D1556" w:rsidR="002E3FA8" w:rsidRDefault="005F28D9" w14:paraId="31B3F6E8" w14:textId="77777777">
            <w:pPr>
              <w:jc w:val="left"/>
              <w:rPr>
                <w:rFonts w:cs="Arial"/>
                <w:szCs w:val="20"/>
              </w:rPr>
            </w:pPr>
            <w:r w:rsidRPr="006D1556">
              <w:rPr>
                <w:rFonts w:cs="Arial"/>
                <w:szCs w:val="20"/>
              </w:rPr>
              <w:t>3.848</w:t>
            </w:r>
          </w:p>
        </w:tc>
        <w:tc>
          <w:tcPr>
            <w:tcW w:w="1152" w:type="dxa"/>
            <w:vAlign w:val="center"/>
          </w:tcPr>
          <w:p w:rsidRPr="006D1556" w:rsidR="002E3FA8" w:rsidRDefault="005F28D9" w14:paraId="6013E21E" w14:textId="77777777">
            <w:pPr>
              <w:jc w:val="left"/>
              <w:rPr>
                <w:rFonts w:cs="Arial"/>
                <w:szCs w:val="20"/>
              </w:rPr>
            </w:pPr>
            <w:r w:rsidRPr="006D1556">
              <w:rPr>
                <w:rFonts w:cs="Arial"/>
                <w:szCs w:val="20"/>
              </w:rPr>
              <w:t>+9.2%</w:t>
            </w:r>
          </w:p>
        </w:tc>
        <w:tc>
          <w:tcPr>
            <w:tcW w:w="5040" w:type="dxa"/>
            <w:vAlign w:val="center"/>
          </w:tcPr>
          <w:p w:rsidRPr="006D1556" w:rsidR="002E3FA8" w:rsidP="005D642B" w:rsidRDefault="005F28D9" w14:paraId="75D68FCF" w14:textId="77777777">
            <w:pPr>
              <w:rPr>
                <w:rFonts w:cs="Arial"/>
                <w:szCs w:val="20"/>
                <w:lang w:val="es-CO"/>
              </w:rPr>
            </w:pPr>
            <w:r w:rsidRPr="006D1556">
              <w:rPr>
                <w:rFonts w:cs="Arial"/>
                <w:szCs w:val="20"/>
                <w:lang w:val="es-CO"/>
              </w:rPr>
              <w:t>Crecimiento sostenido, convenios universitarios. Atención a salud sexual y reproductiva con dignidad, información y autonomía. Salud reproductiva (25-65 años) y menopausia; articulada con obstetricia para continuidad materno-perinatal. Acceso a planificación familiar, detección de cáncer cérvix y salud materna.</w:t>
            </w:r>
          </w:p>
        </w:tc>
      </w:tr>
      <w:tr w:rsidRPr="00846AFF" w:rsidR="002E3FA8" w:rsidTr="00B702D6" w14:paraId="29FE85E3" w14:textId="77777777">
        <w:trPr>
          <w:tblHeader/>
        </w:trPr>
        <w:tc>
          <w:tcPr>
            <w:tcW w:w="1728" w:type="dxa"/>
            <w:vAlign w:val="center"/>
          </w:tcPr>
          <w:p w:rsidRPr="006D1556" w:rsidR="002E3FA8" w:rsidRDefault="005F28D9" w14:paraId="1CA5A9FF" w14:textId="77777777">
            <w:pPr>
              <w:jc w:val="left"/>
              <w:rPr>
                <w:rFonts w:cs="Arial"/>
                <w:szCs w:val="20"/>
              </w:rPr>
            </w:pPr>
            <w:proofErr w:type="spellStart"/>
            <w:r w:rsidRPr="006D1556">
              <w:rPr>
                <w:rFonts w:cs="Arial"/>
                <w:szCs w:val="20"/>
              </w:rPr>
              <w:t>Obstetricia</w:t>
            </w:r>
            <w:proofErr w:type="spellEnd"/>
          </w:p>
        </w:tc>
        <w:tc>
          <w:tcPr>
            <w:tcW w:w="864" w:type="dxa"/>
            <w:vAlign w:val="center"/>
          </w:tcPr>
          <w:p w:rsidRPr="006D1556" w:rsidR="002E3FA8" w:rsidRDefault="005F28D9" w14:paraId="1A776FB5" w14:textId="77777777">
            <w:pPr>
              <w:jc w:val="left"/>
              <w:rPr>
                <w:rFonts w:cs="Arial"/>
                <w:szCs w:val="20"/>
              </w:rPr>
            </w:pPr>
            <w:r w:rsidRPr="006D1556">
              <w:rPr>
                <w:rFonts w:cs="Arial"/>
                <w:szCs w:val="20"/>
              </w:rPr>
              <w:t>701</w:t>
            </w:r>
          </w:p>
        </w:tc>
        <w:tc>
          <w:tcPr>
            <w:tcW w:w="864" w:type="dxa"/>
            <w:vAlign w:val="center"/>
          </w:tcPr>
          <w:p w:rsidRPr="006D1556" w:rsidR="002E3FA8" w:rsidRDefault="005F28D9" w14:paraId="730544F3" w14:textId="77777777">
            <w:pPr>
              <w:jc w:val="left"/>
              <w:rPr>
                <w:rFonts w:cs="Arial"/>
                <w:szCs w:val="20"/>
              </w:rPr>
            </w:pPr>
            <w:r w:rsidRPr="006D1556">
              <w:rPr>
                <w:rFonts w:cs="Arial"/>
                <w:szCs w:val="20"/>
              </w:rPr>
              <w:t>623</w:t>
            </w:r>
          </w:p>
        </w:tc>
        <w:tc>
          <w:tcPr>
            <w:tcW w:w="1152" w:type="dxa"/>
            <w:vAlign w:val="center"/>
          </w:tcPr>
          <w:p w:rsidRPr="006D1556" w:rsidR="002E3FA8" w:rsidRDefault="005F28D9" w14:paraId="2C330215" w14:textId="77777777">
            <w:pPr>
              <w:jc w:val="left"/>
              <w:rPr>
                <w:rFonts w:cs="Arial"/>
                <w:szCs w:val="20"/>
              </w:rPr>
            </w:pPr>
            <w:r w:rsidRPr="006D1556">
              <w:rPr>
                <w:rFonts w:cs="Arial"/>
                <w:szCs w:val="20"/>
              </w:rPr>
              <w:t>-11.1%</w:t>
            </w:r>
          </w:p>
        </w:tc>
        <w:tc>
          <w:tcPr>
            <w:tcW w:w="5040" w:type="dxa"/>
            <w:vAlign w:val="center"/>
          </w:tcPr>
          <w:p w:rsidR="001A3CEC" w:rsidP="005D642B" w:rsidRDefault="005F28D9" w14:paraId="11F15E02" w14:textId="77777777">
            <w:pPr>
              <w:rPr>
                <w:rFonts w:cs="Arial"/>
                <w:szCs w:val="20"/>
                <w:lang w:val="es-CO"/>
              </w:rPr>
            </w:pPr>
            <w:r w:rsidRPr="006D1556">
              <w:rPr>
                <w:rFonts w:cs="Arial"/>
                <w:szCs w:val="20"/>
                <w:lang w:val="es-CO"/>
              </w:rPr>
              <w:t xml:space="preserve">Implementación rigurosa de clasificación de riesgo obstétrico según Resolución 3280 de 2018. Mayor % de gestantes clasificadas como alto/muy alto riesgo (92.4% en 2025) → derivadas a nivel II/III de complejidad. </w:t>
            </w:r>
          </w:p>
          <w:p w:rsidRPr="00846AFF" w:rsidR="00CD5680" w:rsidP="005D642B" w:rsidRDefault="005F28D9" w14:paraId="310EB6A5" w14:textId="77777777">
            <w:pPr>
              <w:rPr>
                <w:rFonts w:cs="Arial"/>
                <w:szCs w:val="20"/>
                <w:lang w:val="es-CO"/>
              </w:rPr>
            </w:pPr>
            <w:r w:rsidRPr="00846AFF">
              <w:rPr>
                <w:rFonts w:cs="Arial"/>
                <w:szCs w:val="20"/>
                <w:lang w:val="es-CO"/>
              </w:rPr>
              <w:t xml:space="preserve">La Institución no registró </w:t>
            </w:r>
            <w:proofErr w:type="spellStart"/>
            <w:r w:rsidRPr="00846AFF">
              <w:rPr>
                <w:rFonts w:cs="Arial"/>
                <w:szCs w:val="20"/>
                <w:lang w:val="es-CO"/>
              </w:rPr>
              <w:t>ning</w:t>
            </w:r>
            <w:proofErr w:type="spellEnd"/>
          </w:p>
          <w:p w:rsidRPr="00846AFF" w:rsidR="002E3FA8" w:rsidP="005D642B" w:rsidRDefault="005F28D9" w14:paraId="3BE3B75F" w14:textId="23D4AD72">
            <w:pPr>
              <w:rPr>
                <w:rFonts w:cs="Arial"/>
                <w:szCs w:val="20"/>
                <w:lang w:val="es-CO"/>
              </w:rPr>
            </w:pPr>
            <w:r w:rsidRPr="00846AFF">
              <w:rPr>
                <w:rFonts w:cs="Arial"/>
                <w:szCs w:val="20"/>
                <w:lang w:val="es-CO"/>
              </w:rPr>
              <w:t>una muerte materna evitable.</w:t>
            </w:r>
          </w:p>
        </w:tc>
      </w:tr>
      <w:tr w:rsidRPr="00846AFF" w:rsidR="002E3FA8" w:rsidTr="00B702D6" w14:paraId="48238267" w14:textId="77777777">
        <w:trPr>
          <w:tblHeader/>
        </w:trPr>
        <w:tc>
          <w:tcPr>
            <w:tcW w:w="1728" w:type="dxa"/>
            <w:vAlign w:val="center"/>
          </w:tcPr>
          <w:p w:rsidRPr="006D1556" w:rsidR="002E3FA8" w:rsidRDefault="005F28D9" w14:paraId="24632F28" w14:textId="77777777">
            <w:pPr>
              <w:jc w:val="left"/>
              <w:rPr>
                <w:rFonts w:cs="Arial"/>
                <w:szCs w:val="20"/>
              </w:rPr>
            </w:pPr>
            <w:proofErr w:type="spellStart"/>
            <w:r w:rsidRPr="006D1556">
              <w:rPr>
                <w:rFonts w:cs="Arial"/>
                <w:szCs w:val="20"/>
              </w:rPr>
              <w:t>Pediatría</w:t>
            </w:r>
            <w:proofErr w:type="spellEnd"/>
          </w:p>
        </w:tc>
        <w:tc>
          <w:tcPr>
            <w:tcW w:w="864" w:type="dxa"/>
            <w:vAlign w:val="center"/>
          </w:tcPr>
          <w:p w:rsidRPr="006D1556" w:rsidR="002E3FA8" w:rsidRDefault="005F28D9" w14:paraId="0C14D545" w14:textId="77777777">
            <w:pPr>
              <w:jc w:val="left"/>
              <w:rPr>
                <w:rFonts w:cs="Arial"/>
                <w:szCs w:val="20"/>
              </w:rPr>
            </w:pPr>
            <w:r w:rsidRPr="006D1556">
              <w:rPr>
                <w:rFonts w:cs="Arial"/>
                <w:szCs w:val="20"/>
              </w:rPr>
              <w:t>5.111</w:t>
            </w:r>
          </w:p>
        </w:tc>
        <w:tc>
          <w:tcPr>
            <w:tcW w:w="864" w:type="dxa"/>
            <w:vAlign w:val="center"/>
          </w:tcPr>
          <w:p w:rsidRPr="006D1556" w:rsidR="002E3FA8" w:rsidRDefault="005F28D9" w14:paraId="16467356" w14:textId="77777777">
            <w:pPr>
              <w:jc w:val="left"/>
              <w:rPr>
                <w:rFonts w:cs="Arial"/>
                <w:szCs w:val="20"/>
              </w:rPr>
            </w:pPr>
            <w:r w:rsidRPr="006D1556">
              <w:rPr>
                <w:rFonts w:cs="Arial"/>
                <w:szCs w:val="20"/>
              </w:rPr>
              <w:t>5.212</w:t>
            </w:r>
          </w:p>
        </w:tc>
        <w:tc>
          <w:tcPr>
            <w:tcW w:w="1152" w:type="dxa"/>
            <w:vAlign w:val="center"/>
          </w:tcPr>
          <w:p w:rsidRPr="006D1556" w:rsidR="002E3FA8" w:rsidRDefault="005F28D9" w14:paraId="27C377B8" w14:textId="77777777">
            <w:pPr>
              <w:jc w:val="left"/>
              <w:rPr>
                <w:rFonts w:cs="Arial"/>
                <w:szCs w:val="20"/>
              </w:rPr>
            </w:pPr>
            <w:r w:rsidRPr="006D1556">
              <w:rPr>
                <w:rFonts w:cs="Arial"/>
                <w:szCs w:val="20"/>
              </w:rPr>
              <w:t>+2.0%</w:t>
            </w:r>
          </w:p>
        </w:tc>
        <w:tc>
          <w:tcPr>
            <w:tcW w:w="5040" w:type="dxa"/>
            <w:vAlign w:val="center"/>
          </w:tcPr>
          <w:p w:rsidRPr="006D1556" w:rsidR="002E3FA8" w:rsidP="005D642B" w:rsidRDefault="005F28D9" w14:paraId="10D4A0A5" w14:textId="1FB652BC">
            <w:pPr>
              <w:rPr>
                <w:rFonts w:cs="Arial"/>
                <w:szCs w:val="20"/>
                <w:lang w:val="es-CO"/>
              </w:rPr>
            </w:pPr>
            <w:r w:rsidRPr="006D1556">
              <w:rPr>
                <w:rFonts w:cs="Arial"/>
                <w:szCs w:val="20"/>
                <w:lang w:val="es-CO"/>
              </w:rPr>
              <w:t>Limitada disponibilidad de especialistas. Pediatría es especialidad crítica para población vulnerable (malnutrición, desarrollo retrasado); limitación genera inequidad. Red atiende comunas 8-12 con alta prevalencia de menores en pobreza extrema (20-39%); acceso a pediatría es un derecho fundamental.</w:t>
            </w:r>
          </w:p>
        </w:tc>
      </w:tr>
    </w:tbl>
    <w:p w:rsidRPr="006D1556" w:rsidR="005D642B" w:rsidP="10C93EC1" w:rsidRDefault="005D642B" w14:paraId="2E89DBAA" w14:textId="77777777">
      <w:pPr>
        <w:spacing w:after="60"/>
        <w:rPr>
          <w:rFonts w:cs="Arial"/>
          <w:b/>
          <w:bCs/>
          <w:i/>
          <w:iCs/>
          <w:color w:val="7F7F7F" w:themeColor="text1" w:themeTint="80"/>
          <w:sz w:val="18"/>
          <w:szCs w:val="18"/>
          <w:lang w:val="es-MX"/>
        </w:rPr>
      </w:pPr>
      <w:r w:rsidRPr="10C93EC1">
        <w:rPr>
          <w:rFonts w:cs="Arial"/>
          <w:b/>
          <w:bCs/>
          <w:i/>
          <w:iCs/>
          <w:color w:val="7F7F7F" w:themeColor="text1" w:themeTint="80"/>
          <w:sz w:val="18"/>
          <w:szCs w:val="18"/>
          <w:lang w:val="es-CO"/>
        </w:rPr>
        <w:t xml:space="preserve">Fuente: </w:t>
      </w:r>
      <w:hyperlink r:id="rId9">
        <w:r w:rsidRPr="10C93EC1">
          <w:rPr>
            <w:rFonts w:cs="Arial"/>
            <w:b/>
            <w:bCs/>
            <w:i/>
            <w:iCs/>
            <w:color w:val="7F7F7F" w:themeColor="text1" w:themeTint="80"/>
            <w:sz w:val="18"/>
            <w:szCs w:val="18"/>
            <w:lang w:val="es-CO"/>
          </w:rPr>
          <w:t xml:space="preserve">Sistema de información institucional </w:t>
        </w:r>
      </w:hyperlink>
      <w:r w:rsidRPr="10C93EC1">
        <w:rPr>
          <w:rFonts w:cs="Arial"/>
          <w:b/>
          <w:bCs/>
          <w:i/>
          <w:iCs/>
          <w:color w:val="7F7F7F" w:themeColor="text1" w:themeTint="80"/>
          <w:sz w:val="18"/>
          <w:szCs w:val="18"/>
          <w:lang w:val="es-CO"/>
        </w:rPr>
        <w:t>–</w:t>
      </w:r>
      <w:r w:rsidRPr="10C93EC1">
        <w:rPr>
          <w:rFonts w:cs="Arial"/>
          <w:b/>
          <w:bCs/>
          <w:i/>
          <w:iCs/>
          <w:color w:val="7F7F7F" w:themeColor="text1" w:themeTint="80"/>
          <w:sz w:val="18"/>
          <w:szCs w:val="18"/>
          <w:lang w:val="es-MX"/>
        </w:rPr>
        <w:t xml:space="preserve"> SERVINTE. </w:t>
      </w:r>
    </w:p>
    <w:p w:rsidRPr="00CD5680" w:rsidR="006D1556" w:rsidP="001A3CEC" w:rsidRDefault="006D1556" w14:paraId="76371449" w14:textId="77777777">
      <w:pPr>
        <w:rPr>
          <w:rFonts w:cs="Arial"/>
          <w:b/>
          <w:szCs w:val="20"/>
          <w:lang w:val="es-CO"/>
        </w:rPr>
      </w:pPr>
    </w:p>
    <w:p w:rsidRPr="00CD5680" w:rsidR="002E3FA8" w:rsidP="001A3CEC" w:rsidRDefault="00B51518" w14:paraId="3364EC2A" w14:textId="0077279B">
      <w:pPr>
        <w:rPr>
          <w:rFonts w:cs="Arial"/>
          <w:b/>
          <w:szCs w:val="20"/>
          <w:lang w:val="es-CO"/>
        </w:rPr>
      </w:pPr>
      <w:r w:rsidRPr="00CD5680">
        <w:rPr>
          <w:rFonts w:cs="Arial"/>
          <w:b/>
          <w:szCs w:val="20"/>
          <w:lang w:val="es-CO"/>
        </w:rPr>
        <w:t>El análisis comparativo permite resaltar los siguientes resultados:</w:t>
      </w:r>
    </w:p>
    <w:p w:rsidRPr="006D1556" w:rsidR="002E3FA8" w:rsidP="00001BF4" w:rsidRDefault="001A3CEC" w14:paraId="48CA4525" w14:textId="77777777">
      <w:pPr>
        <w:pStyle w:val="ListParagraph"/>
        <w:numPr>
          <w:ilvl w:val="0"/>
          <w:numId w:val="10"/>
        </w:numPr>
        <w:rPr>
          <w:rFonts w:cs="Arial"/>
          <w:szCs w:val="20"/>
          <w:lang w:val="es-CO"/>
        </w:rPr>
      </w:pPr>
      <w:r w:rsidRPr="006D1556">
        <w:rPr>
          <w:rFonts w:cs="Arial"/>
          <w:szCs w:val="20"/>
          <w:lang w:val="es-CO"/>
        </w:rPr>
        <w:t>Medicina Familiar experimentó crecimiento transformador de +63</w:t>
      </w:r>
      <w:r w:rsidRPr="00001BF4" w:rsidR="00001BF4">
        <w:rPr>
          <w:sz w:val="24"/>
          <w:szCs w:val="24"/>
          <w:lang w:val="es-CO"/>
        </w:rPr>
        <w:t>,</w:t>
      </w:r>
      <w:r w:rsidRPr="006D1556">
        <w:rPr>
          <w:rFonts w:cs="Arial"/>
          <w:szCs w:val="20"/>
          <w:lang w:val="es-CO"/>
        </w:rPr>
        <w:t xml:space="preserve">95% (6.230 → 10.214 consultas), representando expansión directa de atención donde 3.984 usuarios adicionales acceden a coordinación integral del ciclo de vida, con énfasis en prevención, diagnóstico oportuno y seguimiento longitudinal, habilitada por consolidación de convenios docente-asistenciales con </w:t>
      </w:r>
      <w:proofErr w:type="spellStart"/>
      <w:r w:rsidRPr="006D1556">
        <w:rPr>
          <w:rFonts w:cs="Arial"/>
          <w:szCs w:val="20"/>
          <w:lang w:val="es-CO"/>
        </w:rPr>
        <w:t>Unilibre</w:t>
      </w:r>
      <w:proofErr w:type="spellEnd"/>
      <w:r w:rsidRPr="006D1556">
        <w:rPr>
          <w:rFonts w:cs="Arial"/>
          <w:szCs w:val="20"/>
          <w:lang w:val="es-CO"/>
        </w:rPr>
        <w:t>, ICESI y Universidad del Valle que ampliaron talento humano en formación.</w:t>
      </w:r>
    </w:p>
    <w:p w:rsidRPr="006D1556" w:rsidR="002E3FA8" w:rsidP="00202D48" w:rsidRDefault="001A3CEC" w14:paraId="3F5FF002" w14:textId="3BCA43C5">
      <w:pPr>
        <w:pStyle w:val="ListParagraph"/>
        <w:numPr>
          <w:ilvl w:val="0"/>
          <w:numId w:val="10"/>
        </w:numPr>
        <w:rPr>
          <w:rFonts w:cs="Arial"/>
          <w:szCs w:val="20"/>
          <w:lang w:val="es-CO"/>
        </w:rPr>
      </w:pPr>
      <w:r w:rsidRPr="006D1556">
        <w:rPr>
          <w:rFonts w:cs="Arial"/>
          <w:szCs w:val="20"/>
          <w:lang w:val="es-CO"/>
        </w:rPr>
        <w:t>Medicina Interna registró crecimiento sostenido de +6</w:t>
      </w:r>
      <w:r w:rsidRPr="00202D48" w:rsidR="00202D48">
        <w:rPr>
          <w:sz w:val="24"/>
          <w:szCs w:val="24"/>
          <w:lang w:val="es-CO"/>
        </w:rPr>
        <w:t>,</w:t>
      </w:r>
      <w:r w:rsidRPr="006D1556">
        <w:rPr>
          <w:rFonts w:cs="Arial"/>
          <w:szCs w:val="20"/>
          <w:lang w:val="es-CO"/>
        </w:rPr>
        <w:t>5% (8.842 → 9.415 consultas), reflejando mayor cobertura de pacientes con enfermedades crónicas y complejas, alineado con perfil epidemiológico de población adulta (40%) y envejecida (22%).</w:t>
      </w:r>
    </w:p>
    <w:p w:rsidRPr="006D1556" w:rsidR="002E3FA8" w:rsidP="005D642B" w:rsidRDefault="005F28D9" w14:paraId="33B988E2" w14:textId="2ED754CB">
      <w:pPr>
        <w:pStyle w:val="ListParagraph"/>
        <w:numPr>
          <w:ilvl w:val="0"/>
          <w:numId w:val="10"/>
        </w:numPr>
        <w:spacing w:after="60"/>
        <w:rPr>
          <w:rFonts w:cs="Arial"/>
          <w:szCs w:val="20"/>
          <w:lang w:val="es-CO"/>
        </w:rPr>
      </w:pPr>
      <w:r w:rsidRPr="006D1556">
        <w:rPr>
          <w:rFonts w:cs="Arial"/>
          <w:szCs w:val="20"/>
          <w:lang w:val="es-CO"/>
        </w:rPr>
        <w:t>En el ciclo materno-perinatal, ginecología creció +9.2% (3.524 → 3.848 consultas), fortaleciendo acceso a atención integral de salud reproductiva; paralelamente, obstetricia disminuyó -11.1% (701 → 623 consultas) por implementación rigurosa de clasificación de riesgo obstétrico conforme a Resolución 3280 de 2018 y centralización de partos de alto riesgo en nivel II, estrategia que prioriza seguridad materna y perinatal al derivar oportunamente a instituciones de mayor complejidad, contribuyendo a cero mortalidad materna registrada en 2025.</w:t>
      </w:r>
    </w:p>
    <w:p w:rsidRPr="006D1556" w:rsidR="002E3FA8" w:rsidP="000F4759" w:rsidRDefault="001A3CEC" w14:paraId="1E56B77A" w14:textId="77777777">
      <w:pPr>
        <w:pStyle w:val="ListParagraph"/>
        <w:numPr>
          <w:ilvl w:val="0"/>
          <w:numId w:val="10"/>
        </w:numPr>
        <w:rPr>
          <w:rFonts w:cs="Arial"/>
          <w:szCs w:val="20"/>
          <w:lang w:val="es-CO"/>
        </w:rPr>
      </w:pPr>
      <w:r w:rsidRPr="006D1556">
        <w:rPr>
          <w:rFonts w:cs="Arial"/>
          <w:szCs w:val="20"/>
          <w:lang w:val="es-CO"/>
        </w:rPr>
        <w:t xml:space="preserve">Pediatría </w:t>
      </w:r>
      <w:r w:rsidRPr="006D1556" w:rsidR="000F4759">
        <w:rPr>
          <w:rFonts w:cs="Arial"/>
          <w:szCs w:val="20"/>
          <w:lang w:val="es-CO"/>
        </w:rPr>
        <w:t>presentó un</w:t>
      </w:r>
      <w:r w:rsidRPr="006D1556">
        <w:rPr>
          <w:rFonts w:cs="Arial"/>
          <w:szCs w:val="20"/>
          <w:lang w:val="es-CO"/>
        </w:rPr>
        <w:t xml:space="preserve"> crecimiento moderado de +2</w:t>
      </w:r>
      <w:r w:rsidRPr="006D1556" w:rsidR="000F4759">
        <w:rPr>
          <w:rFonts w:cs="Arial"/>
          <w:szCs w:val="20"/>
          <w:lang w:val="es-CO"/>
        </w:rPr>
        <w:t>,</w:t>
      </w:r>
      <w:r w:rsidRPr="006D1556">
        <w:rPr>
          <w:rFonts w:cs="Arial"/>
          <w:szCs w:val="20"/>
          <w:lang w:val="es-CO"/>
        </w:rPr>
        <w:t xml:space="preserve">0% (5.111 → 5.212 consultas), </w:t>
      </w:r>
      <w:r w:rsidRPr="006D1556" w:rsidR="000F4759">
        <w:rPr>
          <w:rFonts w:cs="Arial"/>
          <w:szCs w:val="20"/>
          <w:lang w:val="es-CO"/>
        </w:rPr>
        <w:t>manteniendo estabilidad en la</w:t>
      </w:r>
      <w:r w:rsidRPr="006D1556">
        <w:rPr>
          <w:rFonts w:cs="Arial"/>
          <w:szCs w:val="20"/>
          <w:lang w:val="es-CO"/>
        </w:rPr>
        <w:t xml:space="preserve"> vigilancia del crecimiento y desarrollo.</w:t>
      </w:r>
      <w:r w:rsidRPr="006D1556" w:rsidR="000F4759">
        <w:rPr>
          <w:rFonts w:cs="Arial"/>
          <w:szCs w:val="20"/>
          <w:lang w:val="es-CO"/>
        </w:rPr>
        <w:t xml:space="preserve"> No obstante, la disponibilidad de especialistas continúa siendo un aspecto crítico para garantizar oportunidad y continuidad en población infantil vulnerable.</w:t>
      </w:r>
    </w:p>
    <w:p w:rsidRPr="006D1556" w:rsidR="002E3FA8" w:rsidP="001A3CEC" w:rsidRDefault="001A3CEC" w14:paraId="26C204C4" w14:textId="05C6A69F">
      <w:pPr>
        <w:rPr>
          <w:rFonts w:cs="Arial"/>
          <w:szCs w:val="20"/>
          <w:lang w:val="es-CO"/>
        </w:rPr>
      </w:pPr>
      <w:r w:rsidRPr="006D1556">
        <w:rPr>
          <w:rFonts w:cs="Arial"/>
          <w:i/>
          <w:szCs w:val="20"/>
          <w:lang w:val="es-CO"/>
        </w:rPr>
        <w:t xml:space="preserve">En síntesis, </w:t>
      </w:r>
      <w:r w:rsidRPr="006D1556" w:rsidR="00A23CF8">
        <w:rPr>
          <w:rFonts w:cs="Arial"/>
          <w:i/>
          <w:iCs/>
          <w:szCs w:val="20"/>
          <w:lang w:val="es-CO"/>
        </w:rPr>
        <w:t>durante</w:t>
      </w:r>
      <w:r w:rsidRPr="006D1556">
        <w:rPr>
          <w:rFonts w:cs="Arial"/>
          <w:i/>
          <w:szCs w:val="20"/>
          <w:lang w:val="es-CO"/>
        </w:rPr>
        <w:t xml:space="preserve"> 2025 la Red de Salud del Centro E.S.E. consolidó </w:t>
      </w:r>
      <w:r w:rsidRPr="006D1556" w:rsidR="00A23CF8">
        <w:rPr>
          <w:rFonts w:cs="Arial"/>
          <w:i/>
          <w:iCs/>
          <w:szCs w:val="20"/>
          <w:lang w:val="es-CO"/>
        </w:rPr>
        <w:t>una</w:t>
      </w:r>
      <w:r w:rsidRPr="006D1556">
        <w:rPr>
          <w:rFonts w:cs="Arial"/>
          <w:i/>
          <w:szCs w:val="20"/>
          <w:lang w:val="es-CO"/>
        </w:rPr>
        <w:t xml:space="preserve"> atención especializada </w:t>
      </w:r>
      <w:r w:rsidRPr="006D1556" w:rsidR="00A23CF8">
        <w:rPr>
          <w:rFonts w:cs="Arial"/>
          <w:i/>
          <w:iCs/>
          <w:szCs w:val="20"/>
          <w:lang w:val="es-CO"/>
        </w:rPr>
        <w:t xml:space="preserve">articulada al enfoque de </w:t>
      </w:r>
      <w:r w:rsidRPr="006D1556">
        <w:rPr>
          <w:rFonts w:cs="Arial"/>
          <w:i/>
          <w:szCs w:val="20"/>
          <w:lang w:val="es-CO"/>
        </w:rPr>
        <w:t>medicina familiar como eje de continuidad</w:t>
      </w:r>
      <w:r w:rsidRPr="006D1556" w:rsidR="00A23CF8">
        <w:rPr>
          <w:rFonts w:cs="Arial"/>
          <w:i/>
          <w:iCs/>
          <w:szCs w:val="20"/>
          <w:lang w:val="es-CO"/>
        </w:rPr>
        <w:t>. Medicina</w:t>
      </w:r>
      <w:r w:rsidRPr="006D1556">
        <w:rPr>
          <w:rFonts w:cs="Arial"/>
          <w:i/>
          <w:szCs w:val="20"/>
          <w:lang w:val="es-CO"/>
        </w:rPr>
        <w:t xml:space="preserve"> interna y ginecología </w:t>
      </w:r>
      <w:r w:rsidRPr="006D1556" w:rsidR="00A23CF8">
        <w:rPr>
          <w:rFonts w:cs="Arial"/>
          <w:i/>
          <w:iCs/>
          <w:szCs w:val="20"/>
          <w:lang w:val="es-CO"/>
        </w:rPr>
        <w:t xml:space="preserve">ampliaron el </w:t>
      </w:r>
      <w:r w:rsidRPr="006D1556">
        <w:rPr>
          <w:rFonts w:cs="Arial"/>
          <w:i/>
          <w:szCs w:val="20"/>
          <w:lang w:val="es-CO"/>
        </w:rPr>
        <w:t xml:space="preserve">acceso a </w:t>
      </w:r>
      <w:r w:rsidRPr="006D1556" w:rsidR="00A23CF8">
        <w:rPr>
          <w:rFonts w:cs="Arial"/>
          <w:i/>
          <w:iCs/>
          <w:szCs w:val="20"/>
          <w:lang w:val="es-CO"/>
        </w:rPr>
        <w:t xml:space="preserve">la atención de </w:t>
      </w:r>
      <w:r w:rsidRPr="006D1556">
        <w:rPr>
          <w:rFonts w:cs="Arial"/>
          <w:i/>
          <w:szCs w:val="20"/>
          <w:lang w:val="es-CO"/>
        </w:rPr>
        <w:t>cronicidad y salud reproductiva</w:t>
      </w:r>
      <w:r w:rsidRPr="006D1556" w:rsidR="00A23CF8">
        <w:rPr>
          <w:rFonts w:cs="Arial"/>
          <w:i/>
          <w:iCs/>
          <w:szCs w:val="20"/>
          <w:lang w:val="es-CO"/>
        </w:rPr>
        <w:t>;</w:t>
      </w:r>
      <w:r w:rsidRPr="006D1556">
        <w:rPr>
          <w:rFonts w:cs="Arial"/>
          <w:i/>
          <w:szCs w:val="20"/>
          <w:lang w:val="es-CO"/>
        </w:rPr>
        <w:t xml:space="preserve"> obstetricia </w:t>
      </w:r>
      <w:r w:rsidRPr="006D1556" w:rsidR="00A23CF8">
        <w:rPr>
          <w:rFonts w:cs="Arial"/>
          <w:i/>
          <w:iCs/>
          <w:szCs w:val="20"/>
          <w:lang w:val="es-CO"/>
        </w:rPr>
        <w:t>se reorientó hacia la</w:t>
      </w:r>
      <w:r w:rsidRPr="006D1556">
        <w:rPr>
          <w:rFonts w:cs="Arial"/>
          <w:i/>
          <w:szCs w:val="20"/>
          <w:lang w:val="es-CO"/>
        </w:rPr>
        <w:t xml:space="preserve"> seguridad materno-perinatal</w:t>
      </w:r>
      <w:r w:rsidRPr="006D1556" w:rsidR="00A23CF8">
        <w:rPr>
          <w:rFonts w:cs="Arial"/>
          <w:i/>
          <w:iCs/>
          <w:szCs w:val="20"/>
          <w:lang w:val="es-CO"/>
        </w:rPr>
        <w:t xml:space="preserve"> mediante gestión del riesgo;</w:t>
      </w:r>
      <w:r w:rsidRPr="006D1556">
        <w:rPr>
          <w:rFonts w:cs="Arial"/>
          <w:i/>
          <w:szCs w:val="20"/>
          <w:lang w:val="es-CO"/>
        </w:rPr>
        <w:t xml:space="preserve"> y pediatría </w:t>
      </w:r>
      <w:r w:rsidRPr="006D1556" w:rsidR="00A23CF8">
        <w:rPr>
          <w:rFonts w:cs="Arial"/>
          <w:i/>
          <w:iCs/>
          <w:szCs w:val="20"/>
          <w:lang w:val="es-CO"/>
        </w:rPr>
        <w:t>mantuvo estabilidad</w:t>
      </w:r>
      <w:r w:rsidR="00AF614D">
        <w:rPr>
          <w:rFonts w:cs="Arial"/>
          <w:i/>
          <w:iCs/>
          <w:szCs w:val="20"/>
          <w:lang w:val="es-CO"/>
        </w:rPr>
        <w:t>.</w:t>
      </w:r>
    </w:p>
    <w:p w:rsidR="00727C13" w:rsidRDefault="00727C13" w14:paraId="1B09599A" w14:textId="77777777">
      <w:pPr>
        <w:spacing w:after="60"/>
        <w:rPr>
          <w:rFonts w:cs="Arial"/>
          <w:b/>
          <w:szCs w:val="20"/>
          <w:lang w:val="es-CO"/>
        </w:rPr>
      </w:pPr>
    </w:p>
    <w:p w:rsidRPr="006D1556" w:rsidR="002E3FA8" w:rsidRDefault="005F28D9" w14:paraId="2B98AD41" w14:textId="60C10050">
      <w:pPr>
        <w:spacing w:after="60"/>
        <w:rPr>
          <w:rFonts w:cs="Arial"/>
          <w:szCs w:val="20"/>
          <w:lang w:val="es-CO"/>
        </w:rPr>
      </w:pPr>
      <w:r w:rsidRPr="006D1556">
        <w:rPr>
          <w:rFonts w:cs="Arial"/>
          <w:b/>
          <w:szCs w:val="20"/>
          <w:lang w:val="es-CO"/>
        </w:rPr>
        <w:t>Indicadores de Calidad – Oportunidad 2024 – 2025:</w:t>
      </w:r>
    </w:p>
    <w:p w:rsidRPr="006D1556" w:rsidR="002E3FA8" w:rsidRDefault="005F28D9" w14:paraId="1B3B4E96" w14:textId="3191BF5A">
      <w:pPr>
        <w:spacing w:after="60"/>
        <w:rPr>
          <w:rFonts w:cs="Arial"/>
          <w:szCs w:val="20"/>
          <w:lang w:val="es-CO"/>
        </w:rPr>
      </w:pPr>
      <w:r w:rsidRPr="006D1556">
        <w:rPr>
          <w:rFonts w:cs="Arial"/>
          <w:b/>
          <w:szCs w:val="20"/>
          <w:lang w:val="es-CO"/>
        </w:rPr>
        <w:t>Oportunidad en acceso inicial a servicios de medicina general y odontología</w:t>
      </w:r>
      <w:r w:rsidRPr="006D1556" w:rsidR="00D65AA6">
        <w:rPr>
          <w:rFonts w:cs="Arial"/>
          <w:b/>
          <w:szCs w:val="20"/>
          <w:lang w:val="es-CO"/>
        </w:rPr>
        <w:t>.</w:t>
      </w:r>
    </w:p>
    <w:p w:rsidRPr="006D1556" w:rsidR="002E3FA8" w:rsidRDefault="005F28D9" w14:paraId="4D429E44" w14:textId="530A9ADB">
      <w:pPr>
        <w:rPr>
          <w:rFonts w:cs="Arial"/>
          <w:szCs w:val="20"/>
          <w:lang w:val="es-CO"/>
        </w:rPr>
      </w:pPr>
      <w:r w:rsidRPr="006D1556">
        <w:rPr>
          <w:rFonts w:cs="Arial"/>
          <w:szCs w:val="20"/>
          <w:lang w:val="es-CO"/>
        </w:rPr>
        <w:t xml:space="preserve">En la vigencia 2025, la Red de Salud del Centro E.S.E. mantuvo un desempeño consistente en oportunidad en la asignación de citas para servicios de primer contacto (medicina general y odontología), garantizando el cumplimiento del marco regulatorio. </w:t>
      </w:r>
    </w:p>
    <w:p w:rsidRPr="006D1556" w:rsidR="002E3FA8" w:rsidP="10C93EC1" w:rsidRDefault="001A3CEC" w14:paraId="59AEC124" w14:textId="30A72C42">
      <w:pPr>
        <w:rPr>
          <w:rFonts w:cs="Arial"/>
          <w:b/>
          <w:bCs/>
          <w:lang w:val="es-CO"/>
        </w:rPr>
      </w:pPr>
      <w:r w:rsidRPr="10C93EC1">
        <w:rPr>
          <w:rFonts w:cs="Arial"/>
          <w:b/>
          <w:bCs/>
          <w:lang w:val="es-CO"/>
        </w:rPr>
        <w:t xml:space="preserve">Tabla </w:t>
      </w:r>
      <w:r w:rsidRPr="10C93EC1" w:rsidR="00B702D6">
        <w:rPr>
          <w:rFonts w:cs="Arial"/>
          <w:b/>
          <w:bCs/>
          <w:lang w:val="es-CO"/>
        </w:rPr>
        <w:t>3</w:t>
      </w:r>
      <w:r w:rsidRPr="10C93EC1">
        <w:rPr>
          <w:rFonts w:cs="Arial"/>
          <w:b/>
          <w:bCs/>
          <w:lang w:val="es-CO"/>
        </w:rPr>
        <w:t>. Comparativo de indicadores de oportunidad en la asignación de citas para odontología y medicina general, 2024 vs. 2025</w:t>
      </w:r>
    </w:p>
    <w:tbl>
      <w:tblPr>
        <w:tblStyle w:val="TableGrid"/>
        <w:tblW w:w="0" w:type="auto"/>
        <w:jc w:val="center"/>
        <w:tblLook w:val="04A0" w:firstRow="1" w:lastRow="0" w:firstColumn="1" w:lastColumn="0" w:noHBand="0" w:noVBand="1"/>
      </w:tblPr>
      <w:tblGrid>
        <w:gridCol w:w="2592"/>
        <w:gridCol w:w="1728"/>
        <w:gridCol w:w="1728"/>
        <w:gridCol w:w="2160"/>
        <w:gridCol w:w="1440"/>
      </w:tblGrid>
      <w:tr w:rsidRPr="006D1556" w:rsidR="002E3FA8" w:rsidTr="006B5D8C" w14:paraId="559CA0C2" w14:textId="77777777">
        <w:trPr>
          <w:jc w:val="center"/>
        </w:trPr>
        <w:tc>
          <w:tcPr>
            <w:tcW w:w="2592" w:type="dxa"/>
            <w:shd w:val="clear" w:color="auto" w:fill="1F3864"/>
            <w:vAlign w:val="center"/>
          </w:tcPr>
          <w:p w:rsidRPr="006D1556" w:rsidR="002E3FA8" w:rsidRDefault="005F28D9" w14:paraId="1B0F7238" w14:textId="77777777">
            <w:pPr>
              <w:jc w:val="center"/>
              <w:rPr>
                <w:rFonts w:cs="Arial"/>
                <w:szCs w:val="20"/>
              </w:rPr>
            </w:pPr>
            <w:r w:rsidRPr="006D1556">
              <w:rPr>
                <w:rFonts w:cs="Arial"/>
                <w:b/>
                <w:color w:val="FFFFFF"/>
                <w:szCs w:val="20"/>
              </w:rPr>
              <w:t>Servicio</w:t>
            </w:r>
          </w:p>
        </w:tc>
        <w:tc>
          <w:tcPr>
            <w:tcW w:w="1728" w:type="dxa"/>
            <w:shd w:val="clear" w:color="auto" w:fill="1F3864"/>
            <w:vAlign w:val="center"/>
          </w:tcPr>
          <w:p w:rsidRPr="006D1556" w:rsidR="002E3FA8" w:rsidRDefault="005F28D9" w14:paraId="3A9D869E" w14:textId="77777777">
            <w:pPr>
              <w:jc w:val="center"/>
              <w:rPr>
                <w:rFonts w:cs="Arial"/>
                <w:szCs w:val="20"/>
              </w:rPr>
            </w:pPr>
            <w:r w:rsidRPr="006D1556">
              <w:rPr>
                <w:rFonts w:cs="Arial"/>
                <w:b/>
                <w:color w:val="FFFFFF"/>
                <w:szCs w:val="20"/>
              </w:rPr>
              <w:t>2024</w:t>
            </w:r>
          </w:p>
        </w:tc>
        <w:tc>
          <w:tcPr>
            <w:tcW w:w="1728" w:type="dxa"/>
            <w:shd w:val="clear" w:color="auto" w:fill="1F3864"/>
            <w:vAlign w:val="center"/>
          </w:tcPr>
          <w:p w:rsidRPr="006D1556" w:rsidR="002E3FA8" w:rsidRDefault="005F28D9" w14:paraId="48421EAF" w14:textId="77777777">
            <w:pPr>
              <w:jc w:val="center"/>
              <w:rPr>
                <w:rFonts w:cs="Arial"/>
                <w:szCs w:val="20"/>
              </w:rPr>
            </w:pPr>
            <w:r w:rsidRPr="006D1556">
              <w:rPr>
                <w:rFonts w:cs="Arial"/>
                <w:b/>
                <w:color w:val="FFFFFF"/>
                <w:szCs w:val="20"/>
              </w:rPr>
              <w:t>2025</w:t>
            </w:r>
          </w:p>
        </w:tc>
        <w:tc>
          <w:tcPr>
            <w:tcW w:w="2160" w:type="dxa"/>
            <w:shd w:val="clear" w:color="auto" w:fill="1F3864"/>
            <w:vAlign w:val="center"/>
          </w:tcPr>
          <w:p w:rsidRPr="006D1556" w:rsidR="002E3FA8" w:rsidRDefault="005F28D9" w14:paraId="2B9FFDC3" w14:textId="77777777">
            <w:pPr>
              <w:jc w:val="center"/>
              <w:rPr>
                <w:rFonts w:cs="Arial"/>
                <w:szCs w:val="20"/>
              </w:rPr>
            </w:pPr>
            <w:r w:rsidRPr="006D1556">
              <w:rPr>
                <w:rFonts w:cs="Arial"/>
                <w:b/>
                <w:color w:val="FFFFFF"/>
                <w:szCs w:val="20"/>
              </w:rPr>
              <w:t>Variación</w:t>
            </w:r>
          </w:p>
        </w:tc>
        <w:tc>
          <w:tcPr>
            <w:tcW w:w="1440" w:type="dxa"/>
            <w:shd w:val="clear" w:color="auto" w:fill="1F3864"/>
            <w:vAlign w:val="center"/>
          </w:tcPr>
          <w:p w:rsidRPr="006D1556" w:rsidR="002E3FA8" w:rsidRDefault="005F28D9" w14:paraId="33D6E1AE" w14:textId="77777777">
            <w:pPr>
              <w:jc w:val="center"/>
              <w:rPr>
                <w:rFonts w:cs="Arial"/>
                <w:szCs w:val="20"/>
              </w:rPr>
            </w:pPr>
            <w:r w:rsidRPr="006D1556">
              <w:rPr>
                <w:rFonts w:cs="Arial"/>
                <w:b/>
                <w:color w:val="FFFFFF"/>
                <w:szCs w:val="20"/>
              </w:rPr>
              <w:t>Análisis</w:t>
            </w:r>
          </w:p>
        </w:tc>
      </w:tr>
      <w:tr w:rsidRPr="006D1556" w:rsidR="002E3FA8" w:rsidTr="006B5D8C" w14:paraId="5A90DA74" w14:textId="77777777">
        <w:trPr>
          <w:jc w:val="center"/>
        </w:trPr>
        <w:tc>
          <w:tcPr>
            <w:tcW w:w="2592" w:type="dxa"/>
            <w:vAlign w:val="center"/>
          </w:tcPr>
          <w:p w:rsidRPr="006D1556" w:rsidR="002E3FA8" w:rsidRDefault="005F28D9" w14:paraId="74D0166E" w14:textId="77777777">
            <w:pPr>
              <w:jc w:val="left"/>
              <w:rPr>
                <w:rFonts w:cs="Arial"/>
                <w:szCs w:val="20"/>
              </w:rPr>
            </w:pPr>
            <w:r w:rsidRPr="006D1556">
              <w:rPr>
                <w:rFonts w:cs="Arial"/>
                <w:szCs w:val="20"/>
              </w:rPr>
              <w:t>Medicina General</w:t>
            </w:r>
          </w:p>
        </w:tc>
        <w:tc>
          <w:tcPr>
            <w:tcW w:w="1728" w:type="dxa"/>
            <w:vAlign w:val="center"/>
          </w:tcPr>
          <w:p w:rsidRPr="006D1556" w:rsidR="002E3FA8" w:rsidP="006B5D8C" w:rsidRDefault="005F28D9" w14:paraId="6DF95FA3" w14:textId="77777777">
            <w:pPr>
              <w:jc w:val="center"/>
              <w:rPr>
                <w:rFonts w:cs="Arial"/>
                <w:szCs w:val="20"/>
              </w:rPr>
            </w:pPr>
            <w:r w:rsidRPr="006D1556">
              <w:rPr>
                <w:rFonts w:cs="Arial"/>
                <w:szCs w:val="20"/>
              </w:rPr>
              <w:t>1.8 días</w:t>
            </w:r>
          </w:p>
        </w:tc>
        <w:tc>
          <w:tcPr>
            <w:tcW w:w="1728" w:type="dxa"/>
            <w:vAlign w:val="center"/>
          </w:tcPr>
          <w:p w:rsidRPr="006D1556" w:rsidR="002E3FA8" w:rsidP="006B5D8C" w:rsidRDefault="005F28D9" w14:paraId="12D6DCCA" w14:textId="77777777">
            <w:pPr>
              <w:jc w:val="center"/>
              <w:rPr>
                <w:rFonts w:cs="Arial"/>
                <w:szCs w:val="20"/>
              </w:rPr>
            </w:pPr>
            <w:r w:rsidRPr="006D1556">
              <w:rPr>
                <w:rFonts w:cs="Arial"/>
                <w:szCs w:val="20"/>
              </w:rPr>
              <w:t>1.9 días</w:t>
            </w:r>
          </w:p>
        </w:tc>
        <w:tc>
          <w:tcPr>
            <w:tcW w:w="2160" w:type="dxa"/>
            <w:vAlign w:val="center"/>
          </w:tcPr>
          <w:p w:rsidRPr="006D1556" w:rsidR="002E3FA8" w:rsidP="006B5D8C" w:rsidRDefault="005F28D9" w14:paraId="57E0EC80" w14:textId="77777777">
            <w:pPr>
              <w:jc w:val="center"/>
              <w:rPr>
                <w:rFonts w:cs="Arial"/>
                <w:szCs w:val="20"/>
              </w:rPr>
            </w:pPr>
            <w:r w:rsidRPr="006D1556">
              <w:rPr>
                <w:rFonts w:cs="Arial"/>
                <w:szCs w:val="20"/>
              </w:rPr>
              <w:t>+0.1 días (+5.6%)</w:t>
            </w:r>
          </w:p>
        </w:tc>
        <w:tc>
          <w:tcPr>
            <w:tcW w:w="1440" w:type="dxa"/>
            <w:vAlign w:val="center"/>
          </w:tcPr>
          <w:p w:rsidRPr="006D1556" w:rsidR="002E3FA8" w:rsidP="006B5D8C" w:rsidRDefault="005F28D9" w14:paraId="6ADDD066" w14:textId="77777777">
            <w:pPr>
              <w:rPr>
                <w:rFonts w:cs="Arial"/>
                <w:szCs w:val="20"/>
              </w:rPr>
            </w:pPr>
            <w:r w:rsidRPr="006D1556">
              <w:rPr>
                <w:rFonts w:cs="Arial"/>
                <w:szCs w:val="20"/>
              </w:rPr>
              <w:t>Estable y Óptimo</w:t>
            </w:r>
          </w:p>
        </w:tc>
      </w:tr>
      <w:tr w:rsidRPr="006D1556" w:rsidR="002E3FA8" w:rsidTr="006B5D8C" w14:paraId="63EB2180" w14:textId="77777777">
        <w:trPr>
          <w:jc w:val="center"/>
        </w:trPr>
        <w:tc>
          <w:tcPr>
            <w:tcW w:w="2592" w:type="dxa"/>
            <w:vAlign w:val="center"/>
          </w:tcPr>
          <w:p w:rsidRPr="006D1556" w:rsidR="002E3FA8" w:rsidRDefault="005F28D9" w14:paraId="021988A9" w14:textId="77777777">
            <w:pPr>
              <w:jc w:val="left"/>
              <w:rPr>
                <w:rFonts w:cs="Arial"/>
                <w:szCs w:val="20"/>
              </w:rPr>
            </w:pPr>
            <w:r w:rsidRPr="006D1556">
              <w:rPr>
                <w:rFonts w:cs="Arial"/>
                <w:szCs w:val="20"/>
              </w:rPr>
              <w:t>Odontología</w:t>
            </w:r>
          </w:p>
        </w:tc>
        <w:tc>
          <w:tcPr>
            <w:tcW w:w="1728" w:type="dxa"/>
            <w:vAlign w:val="center"/>
          </w:tcPr>
          <w:p w:rsidRPr="006D1556" w:rsidR="002E3FA8" w:rsidP="006B5D8C" w:rsidRDefault="005F28D9" w14:paraId="289C59D1" w14:textId="77777777">
            <w:pPr>
              <w:jc w:val="center"/>
              <w:rPr>
                <w:rFonts w:cs="Arial"/>
                <w:szCs w:val="20"/>
              </w:rPr>
            </w:pPr>
            <w:r w:rsidRPr="006D1556">
              <w:rPr>
                <w:rFonts w:cs="Arial"/>
                <w:szCs w:val="20"/>
              </w:rPr>
              <w:t>1.8 días</w:t>
            </w:r>
          </w:p>
        </w:tc>
        <w:tc>
          <w:tcPr>
            <w:tcW w:w="1728" w:type="dxa"/>
            <w:vAlign w:val="center"/>
          </w:tcPr>
          <w:p w:rsidRPr="006D1556" w:rsidR="002E3FA8" w:rsidP="006B5D8C" w:rsidRDefault="005F28D9" w14:paraId="112E7708" w14:textId="77777777">
            <w:pPr>
              <w:jc w:val="center"/>
              <w:rPr>
                <w:rFonts w:cs="Arial"/>
                <w:szCs w:val="20"/>
              </w:rPr>
            </w:pPr>
            <w:r w:rsidRPr="006D1556">
              <w:rPr>
                <w:rFonts w:cs="Arial"/>
                <w:szCs w:val="20"/>
              </w:rPr>
              <w:t>2.0 días</w:t>
            </w:r>
          </w:p>
        </w:tc>
        <w:tc>
          <w:tcPr>
            <w:tcW w:w="2160" w:type="dxa"/>
            <w:vAlign w:val="center"/>
          </w:tcPr>
          <w:p w:rsidRPr="006D1556" w:rsidR="002E3FA8" w:rsidP="006B5D8C" w:rsidRDefault="005F28D9" w14:paraId="3E9918B1" w14:textId="77777777">
            <w:pPr>
              <w:jc w:val="center"/>
              <w:rPr>
                <w:rFonts w:cs="Arial"/>
                <w:szCs w:val="20"/>
              </w:rPr>
            </w:pPr>
            <w:r w:rsidRPr="006D1556">
              <w:rPr>
                <w:rFonts w:cs="Arial"/>
                <w:szCs w:val="20"/>
              </w:rPr>
              <w:t>+0.2 días (+11.1%)</w:t>
            </w:r>
          </w:p>
        </w:tc>
        <w:tc>
          <w:tcPr>
            <w:tcW w:w="1440" w:type="dxa"/>
            <w:vAlign w:val="center"/>
          </w:tcPr>
          <w:p w:rsidRPr="006D1556" w:rsidR="002E3FA8" w:rsidP="006B5D8C" w:rsidRDefault="005F28D9" w14:paraId="12550D47" w14:textId="77777777">
            <w:pPr>
              <w:rPr>
                <w:rFonts w:cs="Arial"/>
                <w:szCs w:val="20"/>
              </w:rPr>
            </w:pPr>
            <w:r w:rsidRPr="006D1556">
              <w:rPr>
                <w:rFonts w:cs="Arial"/>
                <w:szCs w:val="20"/>
              </w:rPr>
              <w:t>Estable y Óptimo</w:t>
            </w:r>
          </w:p>
        </w:tc>
      </w:tr>
      <w:tr w:rsidRPr="006D1556" w:rsidR="002E3FA8" w:rsidTr="006B5D8C" w14:paraId="6F7D5282" w14:textId="77777777">
        <w:trPr>
          <w:jc w:val="center"/>
        </w:trPr>
        <w:tc>
          <w:tcPr>
            <w:tcW w:w="2592" w:type="dxa"/>
            <w:vAlign w:val="center"/>
          </w:tcPr>
          <w:p w:rsidRPr="006D1556" w:rsidR="002E3FA8" w:rsidRDefault="005F28D9" w14:paraId="4E711AFE" w14:textId="77777777">
            <w:pPr>
              <w:jc w:val="left"/>
              <w:rPr>
                <w:rFonts w:cs="Arial"/>
                <w:szCs w:val="20"/>
              </w:rPr>
            </w:pPr>
            <w:r w:rsidRPr="006D1556">
              <w:rPr>
                <w:rFonts w:cs="Arial"/>
                <w:szCs w:val="20"/>
              </w:rPr>
              <w:t>Cumplimiento Institucional</w:t>
            </w:r>
          </w:p>
        </w:tc>
        <w:tc>
          <w:tcPr>
            <w:tcW w:w="1728" w:type="dxa"/>
            <w:vAlign w:val="center"/>
          </w:tcPr>
          <w:p w:rsidRPr="006D1556" w:rsidR="002E3FA8" w:rsidP="006B5D8C" w:rsidRDefault="005F28D9" w14:paraId="642566E6" w14:textId="77777777">
            <w:pPr>
              <w:jc w:val="center"/>
              <w:rPr>
                <w:rFonts w:cs="Arial"/>
                <w:szCs w:val="20"/>
              </w:rPr>
            </w:pPr>
            <w:r w:rsidRPr="006D1556">
              <w:rPr>
                <w:rFonts w:cs="Arial"/>
                <w:szCs w:val="20"/>
              </w:rPr>
              <w:t>100%</w:t>
            </w:r>
          </w:p>
        </w:tc>
        <w:tc>
          <w:tcPr>
            <w:tcW w:w="1728" w:type="dxa"/>
            <w:vAlign w:val="center"/>
          </w:tcPr>
          <w:p w:rsidRPr="006D1556" w:rsidR="002E3FA8" w:rsidP="006B5D8C" w:rsidRDefault="005F28D9" w14:paraId="09E98396" w14:textId="77777777">
            <w:pPr>
              <w:jc w:val="center"/>
              <w:rPr>
                <w:rFonts w:cs="Arial"/>
                <w:szCs w:val="20"/>
              </w:rPr>
            </w:pPr>
            <w:r w:rsidRPr="006D1556">
              <w:rPr>
                <w:rFonts w:cs="Arial"/>
                <w:szCs w:val="20"/>
              </w:rPr>
              <w:t>100%</w:t>
            </w:r>
          </w:p>
        </w:tc>
        <w:tc>
          <w:tcPr>
            <w:tcW w:w="2160" w:type="dxa"/>
            <w:vAlign w:val="center"/>
          </w:tcPr>
          <w:p w:rsidRPr="006D1556" w:rsidR="002E3FA8" w:rsidP="006B5D8C" w:rsidRDefault="005F28D9" w14:paraId="5E69D8E6" w14:textId="77777777">
            <w:pPr>
              <w:jc w:val="center"/>
              <w:rPr>
                <w:rFonts w:cs="Arial"/>
                <w:szCs w:val="20"/>
              </w:rPr>
            </w:pPr>
            <w:r w:rsidRPr="006D1556">
              <w:rPr>
                <w:rFonts w:cs="Arial"/>
                <w:szCs w:val="20"/>
              </w:rPr>
              <w:t>—</w:t>
            </w:r>
          </w:p>
        </w:tc>
        <w:tc>
          <w:tcPr>
            <w:tcW w:w="1440" w:type="dxa"/>
            <w:vAlign w:val="center"/>
          </w:tcPr>
          <w:p w:rsidRPr="006D1556" w:rsidR="002E3FA8" w:rsidP="006B5D8C" w:rsidRDefault="005F28D9" w14:paraId="1DB2CD5E" w14:textId="77777777">
            <w:pPr>
              <w:rPr>
                <w:rFonts w:cs="Arial"/>
                <w:szCs w:val="20"/>
              </w:rPr>
            </w:pPr>
            <w:r w:rsidRPr="006D1556">
              <w:rPr>
                <w:rFonts w:cs="Arial"/>
                <w:szCs w:val="20"/>
              </w:rPr>
              <w:t>Sostenido</w:t>
            </w:r>
          </w:p>
        </w:tc>
      </w:tr>
    </w:tbl>
    <w:p w:rsidRPr="006D1556" w:rsidR="006B5D8C" w:rsidP="10C93EC1" w:rsidRDefault="006B5D8C" w14:paraId="2B7B6773" w14:textId="77777777">
      <w:pPr>
        <w:spacing w:after="60"/>
        <w:rPr>
          <w:rFonts w:cs="Arial"/>
          <w:b/>
          <w:bCs/>
          <w:i/>
          <w:iCs/>
          <w:color w:val="7F7F7F" w:themeColor="text1" w:themeTint="80"/>
          <w:sz w:val="18"/>
          <w:szCs w:val="18"/>
          <w:lang w:val="es-MX"/>
        </w:rPr>
      </w:pPr>
      <w:r w:rsidRPr="10C93EC1">
        <w:rPr>
          <w:rFonts w:cs="Arial"/>
          <w:b/>
          <w:bCs/>
          <w:i/>
          <w:iCs/>
          <w:color w:val="7F7F7F" w:themeColor="text1" w:themeTint="80"/>
          <w:sz w:val="18"/>
          <w:szCs w:val="18"/>
          <w:lang w:val="es-CO"/>
        </w:rPr>
        <w:t xml:space="preserve">Fuente: </w:t>
      </w:r>
      <w:hyperlink r:id="rId10">
        <w:r w:rsidRPr="10C93EC1">
          <w:rPr>
            <w:rFonts w:cs="Arial"/>
            <w:b/>
            <w:bCs/>
            <w:i/>
            <w:iCs/>
            <w:color w:val="7F7F7F" w:themeColor="text1" w:themeTint="80"/>
            <w:sz w:val="18"/>
            <w:szCs w:val="18"/>
            <w:lang w:val="es-CO"/>
          </w:rPr>
          <w:t xml:space="preserve">Sistema de información institucional </w:t>
        </w:r>
      </w:hyperlink>
      <w:r w:rsidRPr="10C93EC1">
        <w:rPr>
          <w:rFonts w:cs="Arial"/>
          <w:b/>
          <w:bCs/>
          <w:i/>
          <w:iCs/>
          <w:color w:val="7F7F7F" w:themeColor="text1" w:themeTint="80"/>
          <w:sz w:val="18"/>
          <w:szCs w:val="18"/>
          <w:lang w:val="es-CO"/>
        </w:rPr>
        <w:t>–</w:t>
      </w:r>
      <w:r w:rsidRPr="10C93EC1">
        <w:rPr>
          <w:rFonts w:cs="Arial"/>
          <w:b/>
          <w:bCs/>
          <w:i/>
          <w:iCs/>
          <w:color w:val="7F7F7F" w:themeColor="text1" w:themeTint="80"/>
          <w:sz w:val="18"/>
          <w:szCs w:val="18"/>
          <w:lang w:val="es-MX"/>
        </w:rPr>
        <w:t xml:space="preserve"> SERVINTE. </w:t>
      </w:r>
    </w:p>
    <w:p w:rsidR="00727C13" w:rsidP="00D65AA6" w:rsidRDefault="00727C13" w14:paraId="317E682E" w14:textId="77777777">
      <w:pPr>
        <w:spacing w:after="60"/>
        <w:rPr>
          <w:rFonts w:cs="Arial"/>
          <w:szCs w:val="20"/>
          <w:lang w:val="es-CO"/>
        </w:rPr>
      </w:pPr>
    </w:p>
    <w:p w:rsidRPr="006D1556" w:rsidR="00D65AA6" w:rsidP="00D65AA6" w:rsidRDefault="00D65AA6" w14:paraId="2F34681F" w14:textId="58E3AD5B">
      <w:pPr>
        <w:spacing w:after="60"/>
        <w:rPr>
          <w:rFonts w:cs="Arial"/>
          <w:szCs w:val="20"/>
          <w:lang w:val="es-CO"/>
        </w:rPr>
      </w:pPr>
      <w:r w:rsidRPr="006D1556">
        <w:rPr>
          <w:rFonts w:cs="Arial"/>
          <w:szCs w:val="20"/>
          <w:lang w:val="es-CO"/>
        </w:rPr>
        <w:t>Estos resultados evidencian el valor institucional que la Red aporta a la comunidad, así como la solidez de sus procesos asistenciales y administrativos, particularmente en aspectos relacionados con la capacidad de respuesta, la oportunidad en la prestación de los servicios y la experiencia del usuario. Lo anterior contribuye al fortalecimiento de la confianza de la población en la institución y reafirma su compromiso con una atención centrada en las necesidades de los usuarios.</w:t>
      </w:r>
    </w:p>
    <w:p w:rsidR="00727C13" w:rsidRDefault="00727C13" w14:paraId="2727B9C9" w14:textId="77777777">
      <w:pPr>
        <w:spacing w:after="60"/>
        <w:rPr>
          <w:rFonts w:cs="Arial"/>
          <w:b/>
          <w:szCs w:val="20"/>
          <w:lang w:val="es-CO"/>
        </w:rPr>
      </w:pPr>
    </w:p>
    <w:p w:rsidRPr="006D1556" w:rsidR="002E3FA8" w:rsidRDefault="005F28D9" w14:paraId="010DAD79" w14:textId="596F8AAB">
      <w:pPr>
        <w:spacing w:after="60"/>
        <w:rPr>
          <w:rFonts w:cs="Arial"/>
          <w:szCs w:val="20"/>
          <w:lang w:val="es-CO"/>
        </w:rPr>
      </w:pPr>
      <w:r w:rsidRPr="006D1556">
        <w:rPr>
          <w:rFonts w:cs="Arial"/>
          <w:b/>
          <w:szCs w:val="20"/>
          <w:lang w:val="es-CO"/>
        </w:rPr>
        <w:t>Oportunidad en la asignación de citas por especialidades: análisis comparativo 2024-2025:</w:t>
      </w:r>
    </w:p>
    <w:p w:rsidRPr="006D1556" w:rsidR="002E3FA8" w:rsidP="001A3CEC" w:rsidRDefault="001A3CEC" w14:paraId="38D88DA5" w14:textId="77777777">
      <w:pPr>
        <w:rPr>
          <w:rFonts w:cs="Arial"/>
          <w:szCs w:val="20"/>
          <w:lang w:val="es-CO"/>
        </w:rPr>
      </w:pPr>
      <w:r w:rsidRPr="10C93EC1">
        <w:rPr>
          <w:rFonts w:cs="Arial"/>
          <w:lang w:val="es-CO"/>
        </w:rPr>
        <w:t xml:space="preserve">La oportunidad en la asignación de citas por especialidades constituye un aspecto crítico </w:t>
      </w:r>
      <w:r w:rsidRPr="10C93EC1" w:rsidR="00F243BD">
        <w:rPr>
          <w:rFonts w:cs="Arial"/>
          <w:lang w:val="es-CO"/>
        </w:rPr>
        <w:t>de</w:t>
      </w:r>
      <w:r w:rsidRPr="10C93EC1">
        <w:rPr>
          <w:rFonts w:cs="Arial"/>
          <w:lang w:val="es-CO"/>
        </w:rPr>
        <w:t xml:space="preserve"> la experiencia del usuario y </w:t>
      </w:r>
      <w:r w:rsidRPr="10C93EC1" w:rsidR="00F243BD">
        <w:rPr>
          <w:rFonts w:cs="Arial"/>
          <w:lang w:val="es-CO"/>
        </w:rPr>
        <w:t>del goce efectivo</w:t>
      </w:r>
      <w:r w:rsidRPr="10C93EC1">
        <w:rPr>
          <w:rFonts w:cs="Arial"/>
          <w:lang w:val="es-CO"/>
        </w:rPr>
        <w:t xml:space="preserve"> del derecho a la salud. </w:t>
      </w:r>
      <w:r w:rsidRPr="10C93EC1" w:rsidR="00F243BD">
        <w:rPr>
          <w:rFonts w:cs="Arial"/>
          <w:lang w:val="es-CO"/>
        </w:rPr>
        <w:t>Su comportamiento depende de factores como las frecuencias contratadas por las Entidades Administradoras del Plan de Beneficios (EAPB), la modalidad de pago, la disponibilidad de talento humano especializado y la articulación entre la red propia y la red externa contratada. Por ello, el análisis debe interpretarse no solo como un indicador operativo, sino como una señal de suficiencia de oferta, gestión contractual y continuidad del cuidado.</w:t>
      </w:r>
    </w:p>
    <w:p w:rsidRPr="006D1556" w:rsidR="002E3FA8" w:rsidP="10C93EC1" w:rsidRDefault="001A3CEC" w14:paraId="7A567156" w14:textId="5FC2A4D9">
      <w:pPr>
        <w:rPr>
          <w:rFonts w:cs="Arial"/>
          <w:b/>
          <w:bCs/>
          <w:lang w:val="es-CO"/>
        </w:rPr>
      </w:pPr>
      <w:r w:rsidRPr="10C93EC1">
        <w:rPr>
          <w:rFonts w:cs="Arial"/>
          <w:b/>
          <w:bCs/>
          <w:lang w:val="es-CO"/>
        </w:rPr>
        <w:t xml:space="preserve">Tabla </w:t>
      </w:r>
      <w:r w:rsidRPr="10C93EC1" w:rsidR="00B702D6">
        <w:rPr>
          <w:rFonts w:cs="Arial"/>
          <w:b/>
          <w:bCs/>
          <w:lang w:val="es-CO"/>
        </w:rPr>
        <w:t>4</w:t>
      </w:r>
      <w:r w:rsidRPr="10C93EC1">
        <w:rPr>
          <w:rFonts w:cs="Arial"/>
          <w:b/>
          <w:bCs/>
          <w:lang w:val="es-CO"/>
        </w:rPr>
        <w:t>. Comparativo de indicadores de oportunidad en la asignación de citas para medicina especializada, 2024 vs. 2025</w:t>
      </w:r>
    </w:p>
    <w:tbl>
      <w:tblPr>
        <w:tblStyle w:val="TableGrid"/>
        <w:tblW w:w="0" w:type="auto"/>
        <w:jc w:val="center"/>
        <w:tblLook w:val="04A0" w:firstRow="1" w:lastRow="0" w:firstColumn="1" w:lastColumn="0" w:noHBand="0" w:noVBand="1"/>
      </w:tblPr>
      <w:tblGrid>
        <w:gridCol w:w="3168"/>
        <w:gridCol w:w="2016"/>
        <w:gridCol w:w="2016"/>
        <w:gridCol w:w="2448"/>
      </w:tblGrid>
      <w:tr w:rsidRPr="006D1556" w:rsidR="002E3FA8" w14:paraId="07ABE079" w14:textId="77777777">
        <w:trPr>
          <w:jc w:val="center"/>
        </w:trPr>
        <w:tc>
          <w:tcPr>
            <w:tcW w:w="3168" w:type="dxa"/>
            <w:shd w:val="clear" w:color="auto" w:fill="1F3864"/>
          </w:tcPr>
          <w:p w:rsidRPr="006D1556" w:rsidR="002E3FA8" w:rsidRDefault="005F28D9" w14:paraId="75483732" w14:textId="77777777">
            <w:pPr>
              <w:jc w:val="center"/>
              <w:rPr>
                <w:rFonts w:cs="Arial"/>
                <w:szCs w:val="20"/>
              </w:rPr>
            </w:pPr>
            <w:proofErr w:type="spellStart"/>
            <w:r w:rsidRPr="006D1556">
              <w:rPr>
                <w:rFonts w:cs="Arial"/>
                <w:b/>
                <w:color w:val="FFFFFF"/>
                <w:szCs w:val="20"/>
              </w:rPr>
              <w:t>Especialidad</w:t>
            </w:r>
            <w:proofErr w:type="spellEnd"/>
          </w:p>
        </w:tc>
        <w:tc>
          <w:tcPr>
            <w:tcW w:w="2016" w:type="dxa"/>
            <w:shd w:val="clear" w:color="auto" w:fill="1F3864"/>
          </w:tcPr>
          <w:p w:rsidRPr="006D1556" w:rsidR="002E3FA8" w:rsidRDefault="005F28D9" w14:paraId="6E7A6783" w14:textId="77777777">
            <w:pPr>
              <w:jc w:val="center"/>
              <w:rPr>
                <w:rFonts w:cs="Arial"/>
                <w:szCs w:val="20"/>
              </w:rPr>
            </w:pPr>
            <w:r w:rsidRPr="006D1556">
              <w:rPr>
                <w:rFonts w:cs="Arial"/>
                <w:b/>
                <w:color w:val="FFFFFF"/>
                <w:szCs w:val="20"/>
              </w:rPr>
              <w:t>2024</w:t>
            </w:r>
          </w:p>
        </w:tc>
        <w:tc>
          <w:tcPr>
            <w:tcW w:w="2016" w:type="dxa"/>
            <w:shd w:val="clear" w:color="auto" w:fill="1F3864"/>
          </w:tcPr>
          <w:p w:rsidRPr="006D1556" w:rsidR="002E3FA8" w:rsidRDefault="005F28D9" w14:paraId="68E203A6" w14:textId="77777777">
            <w:pPr>
              <w:jc w:val="center"/>
              <w:rPr>
                <w:rFonts w:cs="Arial"/>
                <w:szCs w:val="20"/>
              </w:rPr>
            </w:pPr>
            <w:r w:rsidRPr="006D1556">
              <w:rPr>
                <w:rFonts w:cs="Arial"/>
                <w:b/>
                <w:color w:val="FFFFFF"/>
                <w:szCs w:val="20"/>
              </w:rPr>
              <w:t>2025</w:t>
            </w:r>
          </w:p>
        </w:tc>
        <w:tc>
          <w:tcPr>
            <w:tcW w:w="2448" w:type="dxa"/>
            <w:shd w:val="clear" w:color="auto" w:fill="1F3864"/>
          </w:tcPr>
          <w:p w:rsidRPr="006D1556" w:rsidR="002E3FA8" w:rsidRDefault="005F28D9" w14:paraId="41B2E945" w14:textId="77777777">
            <w:pPr>
              <w:jc w:val="center"/>
              <w:rPr>
                <w:rFonts w:cs="Arial"/>
                <w:szCs w:val="20"/>
              </w:rPr>
            </w:pPr>
            <w:r w:rsidRPr="006D1556">
              <w:rPr>
                <w:rFonts w:cs="Arial"/>
                <w:b/>
                <w:color w:val="FFFFFF"/>
                <w:szCs w:val="20"/>
              </w:rPr>
              <w:t>Variación</w:t>
            </w:r>
          </w:p>
        </w:tc>
      </w:tr>
      <w:tr w:rsidRPr="006D1556" w:rsidR="002E3FA8" w14:paraId="548A3698" w14:textId="77777777">
        <w:trPr>
          <w:jc w:val="center"/>
        </w:trPr>
        <w:tc>
          <w:tcPr>
            <w:tcW w:w="3168" w:type="dxa"/>
          </w:tcPr>
          <w:p w:rsidRPr="006D1556" w:rsidR="002E3FA8" w:rsidRDefault="005F28D9" w14:paraId="67CF44B7" w14:textId="77777777">
            <w:pPr>
              <w:jc w:val="left"/>
              <w:rPr>
                <w:rFonts w:cs="Arial"/>
                <w:szCs w:val="20"/>
              </w:rPr>
            </w:pPr>
            <w:r w:rsidRPr="006D1556">
              <w:rPr>
                <w:rFonts w:cs="Arial"/>
                <w:szCs w:val="20"/>
              </w:rPr>
              <w:t>Medicina Familiar</w:t>
            </w:r>
          </w:p>
        </w:tc>
        <w:tc>
          <w:tcPr>
            <w:tcW w:w="2016" w:type="dxa"/>
          </w:tcPr>
          <w:p w:rsidRPr="006D1556" w:rsidR="002E3FA8" w:rsidP="00727C13" w:rsidRDefault="005F28D9" w14:paraId="158C1A9E" w14:textId="77777777">
            <w:pPr>
              <w:jc w:val="center"/>
              <w:rPr>
                <w:rFonts w:cs="Arial"/>
                <w:szCs w:val="20"/>
              </w:rPr>
            </w:pPr>
            <w:r w:rsidRPr="006D1556">
              <w:rPr>
                <w:rFonts w:cs="Arial"/>
                <w:szCs w:val="20"/>
              </w:rPr>
              <w:t>10.2 días</w:t>
            </w:r>
          </w:p>
        </w:tc>
        <w:tc>
          <w:tcPr>
            <w:tcW w:w="2016" w:type="dxa"/>
          </w:tcPr>
          <w:p w:rsidRPr="006D1556" w:rsidR="002E3FA8" w:rsidP="00727C13" w:rsidRDefault="005F28D9" w14:paraId="3AE5D5B9" w14:textId="77777777">
            <w:pPr>
              <w:jc w:val="center"/>
              <w:rPr>
                <w:rFonts w:cs="Arial"/>
                <w:szCs w:val="20"/>
              </w:rPr>
            </w:pPr>
            <w:r w:rsidRPr="006D1556">
              <w:rPr>
                <w:rFonts w:cs="Arial"/>
                <w:szCs w:val="20"/>
              </w:rPr>
              <w:t>8.6 días</w:t>
            </w:r>
          </w:p>
        </w:tc>
        <w:tc>
          <w:tcPr>
            <w:tcW w:w="2448" w:type="dxa"/>
          </w:tcPr>
          <w:p w:rsidRPr="006D1556" w:rsidR="002E3FA8" w:rsidP="00727C13" w:rsidRDefault="005F28D9" w14:paraId="1E44E823" w14:textId="77777777">
            <w:pPr>
              <w:jc w:val="center"/>
              <w:rPr>
                <w:rFonts w:cs="Arial"/>
                <w:szCs w:val="20"/>
              </w:rPr>
            </w:pPr>
            <w:r w:rsidRPr="006D1556">
              <w:rPr>
                <w:rFonts w:cs="Arial"/>
                <w:szCs w:val="20"/>
              </w:rPr>
              <w:t>↓ 1.6 días (-15.7%)</w:t>
            </w:r>
          </w:p>
        </w:tc>
      </w:tr>
      <w:tr w:rsidRPr="006D1556" w:rsidR="002E3FA8" w14:paraId="0F3144DD" w14:textId="77777777">
        <w:trPr>
          <w:jc w:val="center"/>
        </w:trPr>
        <w:tc>
          <w:tcPr>
            <w:tcW w:w="3168" w:type="dxa"/>
          </w:tcPr>
          <w:p w:rsidRPr="006D1556" w:rsidR="002E3FA8" w:rsidRDefault="005F28D9" w14:paraId="555D41AE" w14:textId="77777777">
            <w:pPr>
              <w:jc w:val="left"/>
              <w:rPr>
                <w:rFonts w:cs="Arial"/>
                <w:szCs w:val="20"/>
              </w:rPr>
            </w:pPr>
            <w:r w:rsidRPr="006D1556">
              <w:rPr>
                <w:rFonts w:cs="Arial"/>
                <w:szCs w:val="20"/>
              </w:rPr>
              <w:t>Medicina Interna</w:t>
            </w:r>
          </w:p>
        </w:tc>
        <w:tc>
          <w:tcPr>
            <w:tcW w:w="2016" w:type="dxa"/>
          </w:tcPr>
          <w:p w:rsidRPr="006D1556" w:rsidR="002E3FA8" w:rsidP="00727C13" w:rsidRDefault="005F28D9" w14:paraId="75AD8F97" w14:textId="77777777">
            <w:pPr>
              <w:jc w:val="center"/>
              <w:rPr>
                <w:rFonts w:cs="Arial"/>
                <w:szCs w:val="20"/>
              </w:rPr>
            </w:pPr>
            <w:r w:rsidRPr="006D1556">
              <w:rPr>
                <w:rFonts w:cs="Arial"/>
                <w:szCs w:val="20"/>
              </w:rPr>
              <w:t>4.4 días</w:t>
            </w:r>
          </w:p>
        </w:tc>
        <w:tc>
          <w:tcPr>
            <w:tcW w:w="2016" w:type="dxa"/>
          </w:tcPr>
          <w:p w:rsidRPr="006D1556" w:rsidR="002E3FA8" w:rsidP="00727C13" w:rsidRDefault="005F28D9" w14:paraId="1E6A9CD4" w14:textId="77777777">
            <w:pPr>
              <w:jc w:val="center"/>
              <w:rPr>
                <w:rFonts w:cs="Arial"/>
                <w:szCs w:val="20"/>
              </w:rPr>
            </w:pPr>
            <w:r w:rsidRPr="006D1556">
              <w:rPr>
                <w:rFonts w:cs="Arial"/>
                <w:szCs w:val="20"/>
              </w:rPr>
              <w:t>8.6 días</w:t>
            </w:r>
          </w:p>
        </w:tc>
        <w:tc>
          <w:tcPr>
            <w:tcW w:w="2448" w:type="dxa"/>
          </w:tcPr>
          <w:p w:rsidRPr="006D1556" w:rsidR="002E3FA8" w:rsidP="00727C13" w:rsidRDefault="005F28D9" w14:paraId="7B0F25FD" w14:textId="77777777">
            <w:pPr>
              <w:jc w:val="center"/>
              <w:rPr>
                <w:rFonts w:cs="Arial"/>
                <w:szCs w:val="20"/>
              </w:rPr>
            </w:pPr>
            <w:r w:rsidRPr="006D1556">
              <w:rPr>
                <w:rFonts w:cs="Arial"/>
                <w:szCs w:val="20"/>
              </w:rPr>
              <w:t>↑ 4.2 días (+95.5%)</w:t>
            </w:r>
          </w:p>
        </w:tc>
      </w:tr>
      <w:tr w:rsidRPr="006D1556" w:rsidR="002E3FA8" w14:paraId="62D77E28" w14:textId="77777777">
        <w:trPr>
          <w:jc w:val="center"/>
        </w:trPr>
        <w:tc>
          <w:tcPr>
            <w:tcW w:w="3168" w:type="dxa"/>
          </w:tcPr>
          <w:p w:rsidRPr="006D1556" w:rsidR="002E3FA8" w:rsidRDefault="005F28D9" w14:paraId="702B7FC4" w14:textId="77777777">
            <w:pPr>
              <w:jc w:val="left"/>
              <w:rPr>
                <w:rFonts w:cs="Arial"/>
                <w:szCs w:val="20"/>
              </w:rPr>
            </w:pPr>
            <w:r w:rsidRPr="006D1556">
              <w:rPr>
                <w:rFonts w:cs="Arial"/>
                <w:szCs w:val="20"/>
              </w:rPr>
              <w:t>Pediatría</w:t>
            </w:r>
          </w:p>
        </w:tc>
        <w:tc>
          <w:tcPr>
            <w:tcW w:w="2016" w:type="dxa"/>
          </w:tcPr>
          <w:p w:rsidRPr="006D1556" w:rsidR="002E3FA8" w:rsidP="00727C13" w:rsidRDefault="005F28D9" w14:paraId="4FD165DB" w14:textId="77777777">
            <w:pPr>
              <w:jc w:val="center"/>
              <w:rPr>
                <w:rFonts w:cs="Arial"/>
                <w:szCs w:val="20"/>
              </w:rPr>
            </w:pPr>
            <w:r w:rsidRPr="006D1556">
              <w:rPr>
                <w:rFonts w:cs="Arial"/>
                <w:szCs w:val="20"/>
              </w:rPr>
              <w:t>3.9 días</w:t>
            </w:r>
          </w:p>
        </w:tc>
        <w:tc>
          <w:tcPr>
            <w:tcW w:w="2016" w:type="dxa"/>
          </w:tcPr>
          <w:p w:rsidRPr="006D1556" w:rsidR="002E3FA8" w:rsidP="00727C13" w:rsidRDefault="005F28D9" w14:paraId="2F3D72E1" w14:textId="77777777">
            <w:pPr>
              <w:jc w:val="center"/>
              <w:rPr>
                <w:rFonts w:cs="Arial"/>
                <w:szCs w:val="20"/>
              </w:rPr>
            </w:pPr>
            <w:r w:rsidRPr="006D1556">
              <w:rPr>
                <w:rFonts w:cs="Arial"/>
                <w:szCs w:val="20"/>
              </w:rPr>
              <w:t>3.9 días</w:t>
            </w:r>
          </w:p>
        </w:tc>
        <w:tc>
          <w:tcPr>
            <w:tcW w:w="2448" w:type="dxa"/>
          </w:tcPr>
          <w:p w:rsidRPr="006D1556" w:rsidR="002E3FA8" w:rsidP="00727C13" w:rsidRDefault="005F28D9" w14:paraId="636CDFED" w14:textId="77777777">
            <w:pPr>
              <w:jc w:val="center"/>
              <w:rPr>
                <w:rFonts w:cs="Arial"/>
                <w:szCs w:val="20"/>
              </w:rPr>
            </w:pPr>
            <w:r w:rsidRPr="006D1556">
              <w:rPr>
                <w:rFonts w:cs="Arial"/>
                <w:szCs w:val="20"/>
              </w:rPr>
              <w:t>= 0 días (0%)</w:t>
            </w:r>
          </w:p>
        </w:tc>
      </w:tr>
      <w:tr w:rsidRPr="006D1556" w:rsidR="002E3FA8" w14:paraId="2AEBC8E9" w14:textId="77777777">
        <w:trPr>
          <w:jc w:val="center"/>
        </w:trPr>
        <w:tc>
          <w:tcPr>
            <w:tcW w:w="3168" w:type="dxa"/>
          </w:tcPr>
          <w:p w:rsidRPr="006D1556" w:rsidR="002E3FA8" w:rsidRDefault="005F28D9" w14:paraId="000FB66D" w14:textId="77777777">
            <w:pPr>
              <w:jc w:val="left"/>
              <w:rPr>
                <w:rFonts w:cs="Arial"/>
                <w:szCs w:val="20"/>
              </w:rPr>
            </w:pPr>
            <w:r w:rsidRPr="006D1556">
              <w:rPr>
                <w:rFonts w:cs="Arial"/>
                <w:szCs w:val="20"/>
              </w:rPr>
              <w:t>Ginecología</w:t>
            </w:r>
          </w:p>
        </w:tc>
        <w:tc>
          <w:tcPr>
            <w:tcW w:w="2016" w:type="dxa"/>
          </w:tcPr>
          <w:p w:rsidRPr="006D1556" w:rsidR="002E3FA8" w:rsidP="00727C13" w:rsidRDefault="005F28D9" w14:paraId="75D62AAB" w14:textId="77777777">
            <w:pPr>
              <w:jc w:val="center"/>
              <w:rPr>
                <w:rFonts w:cs="Arial"/>
                <w:szCs w:val="20"/>
              </w:rPr>
            </w:pPr>
            <w:r w:rsidRPr="006D1556">
              <w:rPr>
                <w:rFonts w:cs="Arial"/>
                <w:szCs w:val="20"/>
              </w:rPr>
              <w:t>5.4 días</w:t>
            </w:r>
          </w:p>
        </w:tc>
        <w:tc>
          <w:tcPr>
            <w:tcW w:w="2016" w:type="dxa"/>
          </w:tcPr>
          <w:p w:rsidRPr="006D1556" w:rsidR="002E3FA8" w:rsidP="00727C13" w:rsidRDefault="005F28D9" w14:paraId="342FCF5E" w14:textId="77777777">
            <w:pPr>
              <w:jc w:val="center"/>
              <w:rPr>
                <w:rFonts w:cs="Arial"/>
                <w:szCs w:val="20"/>
              </w:rPr>
            </w:pPr>
            <w:r w:rsidRPr="006D1556">
              <w:rPr>
                <w:rFonts w:cs="Arial"/>
                <w:szCs w:val="20"/>
              </w:rPr>
              <w:t>5.6 días</w:t>
            </w:r>
          </w:p>
        </w:tc>
        <w:tc>
          <w:tcPr>
            <w:tcW w:w="2448" w:type="dxa"/>
          </w:tcPr>
          <w:p w:rsidRPr="006D1556" w:rsidR="002E3FA8" w:rsidP="00727C13" w:rsidRDefault="005F28D9" w14:paraId="29332A55" w14:textId="77777777">
            <w:pPr>
              <w:jc w:val="center"/>
              <w:rPr>
                <w:rFonts w:cs="Arial"/>
                <w:szCs w:val="20"/>
              </w:rPr>
            </w:pPr>
            <w:r w:rsidRPr="006D1556">
              <w:rPr>
                <w:rFonts w:cs="Arial"/>
                <w:szCs w:val="20"/>
              </w:rPr>
              <w:t>↑ 0.2 días (+3.7%)</w:t>
            </w:r>
          </w:p>
        </w:tc>
      </w:tr>
      <w:tr w:rsidRPr="006D1556" w:rsidR="002E3FA8" w14:paraId="25A19217" w14:textId="77777777">
        <w:trPr>
          <w:jc w:val="center"/>
        </w:trPr>
        <w:tc>
          <w:tcPr>
            <w:tcW w:w="3168" w:type="dxa"/>
          </w:tcPr>
          <w:p w:rsidRPr="006D1556" w:rsidR="002E3FA8" w:rsidRDefault="005F28D9" w14:paraId="328757CE" w14:textId="77777777">
            <w:pPr>
              <w:jc w:val="left"/>
              <w:rPr>
                <w:rFonts w:cs="Arial"/>
                <w:szCs w:val="20"/>
              </w:rPr>
            </w:pPr>
            <w:r w:rsidRPr="006D1556">
              <w:rPr>
                <w:rFonts w:cs="Arial"/>
                <w:szCs w:val="20"/>
              </w:rPr>
              <w:t>Obstetricia</w:t>
            </w:r>
          </w:p>
        </w:tc>
        <w:tc>
          <w:tcPr>
            <w:tcW w:w="2016" w:type="dxa"/>
          </w:tcPr>
          <w:p w:rsidRPr="006D1556" w:rsidR="002E3FA8" w:rsidP="00727C13" w:rsidRDefault="005F28D9" w14:paraId="0D40466B" w14:textId="77777777">
            <w:pPr>
              <w:jc w:val="center"/>
              <w:rPr>
                <w:rFonts w:cs="Arial"/>
                <w:szCs w:val="20"/>
              </w:rPr>
            </w:pPr>
            <w:r w:rsidRPr="006D1556">
              <w:rPr>
                <w:rFonts w:cs="Arial"/>
                <w:szCs w:val="20"/>
              </w:rPr>
              <w:t>5.4 días</w:t>
            </w:r>
          </w:p>
        </w:tc>
        <w:tc>
          <w:tcPr>
            <w:tcW w:w="2016" w:type="dxa"/>
          </w:tcPr>
          <w:p w:rsidRPr="006D1556" w:rsidR="002E3FA8" w:rsidP="00727C13" w:rsidRDefault="005F28D9" w14:paraId="75DA1C68" w14:textId="77777777">
            <w:pPr>
              <w:jc w:val="center"/>
              <w:rPr>
                <w:rFonts w:cs="Arial"/>
                <w:szCs w:val="20"/>
              </w:rPr>
            </w:pPr>
            <w:r w:rsidRPr="006D1556">
              <w:rPr>
                <w:rFonts w:cs="Arial"/>
                <w:szCs w:val="20"/>
              </w:rPr>
              <w:t>5.6 días</w:t>
            </w:r>
          </w:p>
        </w:tc>
        <w:tc>
          <w:tcPr>
            <w:tcW w:w="2448" w:type="dxa"/>
          </w:tcPr>
          <w:p w:rsidRPr="006D1556" w:rsidR="002E3FA8" w:rsidP="00727C13" w:rsidRDefault="005F28D9" w14:paraId="4B80C20F" w14:textId="77777777">
            <w:pPr>
              <w:jc w:val="center"/>
              <w:rPr>
                <w:rFonts w:cs="Arial"/>
                <w:szCs w:val="20"/>
              </w:rPr>
            </w:pPr>
            <w:r w:rsidRPr="006D1556">
              <w:rPr>
                <w:rFonts w:cs="Arial"/>
                <w:szCs w:val="20"/>
              </w:rPr>
              <w:t>↑ 0.2 días (+3.7%)</w:t>
            </w:r>
          </w:p>
        </w:tc>
      </w:tr>
    </w:tbl>
    <w:p w:rsidRPr="006D1556" w:rsidR="00727C13" w:rsidP="10C93EC1" w:rsidRDefault="00727C13" w14:paraId="3358D1D1" w14:textId="77777777">
      <w:pPr>
        <w:spacing w:after="60"/>
        <w:rPr>
          <w:rFonts w:cs="Arial"/>
          <w:b/>
          <w:bCs/>
          <w:i/>
          <w:iCs/>
          <w:color w:val="7F7F7F" w:themeColor="text1" w:themeTint="80"/>
          <w:sz w:val="18"/>
          <w:szCs w:val="18"/>
          <w:lang w:val="es-MX"/>
        </w:rPr>
      </w:pPr>
      <w:r w:rsidRPr="10C93EC1">
        <w:rPr>
          <w:rFonts w:cs="Arial"/>
          <w:b/>
          <w:bCs/>
          <w:i/>
          <w:iCs/>
          <w:color w:val="7F7F7F" w:themeColor="text1" w:themeTint="80"/>
          <w:sz w:val="18"/>
          <w:szCs w:val="18"/>
          <w:lang w:val="es-CO"/>
        </w:rPr>
        <w:t xml:space="preserve">Fuente: </w:t>
      </w:r>
      <w:hyperlink r:id="rId11">
        <w:r w:rsidRPr="10C93EC1">
          <w:rPr>
            <w:rFonts w:cs="Arial"/>
            <w:b/>
            <w:bCs/>
            <w:i/>
            <w:iCs/>
            <w:color w:val="7F7F7F" w:themeColor="text1" w:themeTint="80"/>
            <w:sz w:val="18"/>
            <w:szCs w:val="18"/>
            <w:lang w:val="es-CO"/>
          </w:rPr>
          <w:t xml:space="preserve">Sistema de información institucional </w:t>
        </w:r>
      </w:hyperlink>
      <w:r w:rsidRPr="10C93EC1">
        <w:rPr>
          <w:rFonts w:cs="Arial"/>
          <w:b/>
          <w:bCs/>
          <w:i/>
          <w:iCs/>
          <w:color w:val="7F7F7F" w:themeColor="text1" w:themeTint="80"/>
          <w:sz w:val="18"/>
          <w:szCs w:val="18"/>
          <w:lang w:val="es-CO"/>
        </w:rPr>
        <w:t>–</w:t>
      </w:r>
      <w:r w:rsidRPr="10C93EC1">
        <w:rPr>
          <w:rFonts w:cs="Arial"/>
          <w:b/>
          <w:bCs/>
          <w:i/>
          <w:iCs/>
          <w:color w:val="7F7F7F" w:themeColor="text1" w:themeTint="80"/>
          <w:sz w:val="18"/>
          <w:szCs w:val="18"/>
          <w:lang w:val="es-MX"/>
        </w:rPr>
        <w:t xml:space="preserve"> SERVINTE. </w:t>
      </w:r>
    </w:p>
    <w:p w:rsidR="00727C13" w:rsidP="00727C13" w:rsidRDefault="00727C13" w14:paraId="3A644286" w14:textId="77777777">
      <w:pPr>
        <w:rPr>
          <w:rFonts w:cs="Arial"/>
          <w:szCs w:val="20"/>
          <w:lang w:val="es-CO"/>
        </w:rPr>
      </w:pPr>
    </w:p>
    <w:p w:rsidRPr="00CD5680" w:rsidR="00727C13" w:rsidP="00727C13" w:rsidRDefault="00727C13" w14:paraId="4CECA6D8" w14:textId="0D0CAD62">
      <w:pPr>
        <w:rPr>
          <w:rFonts w:cs="Arial"/>
          <w:b/>
          <w:szCs w:val="20"/>
          <w:lang w:val="es-CO"/>
        </w:rPr>
      </w:pPr>
      <w:r w:rsidRPr="00CD5680">
        <w:rPr>
          <w:rFonts w:cs="Arial"/>
          <w:b/>
          <w:szCs w:val="20"/>
          <w:lang w:val="es-CO"/>
        </w:rPr>
        <w:t>El análisis comparativo entre vigencias revela un desempeño heterogéneo en las especialidades evaluadas:</w:t>
      </w:r>
    </w:p>
    <w:p w:rsidRPr="006D1556" w:rsidR="002E3FA8" w:rsidP="00F001D1" w:rsidRDefault="001A3CEC" w14:paraId="57F6AEFC" w14:textId="77777777">
      <w:pPr>
        <w:pStyle w:val="ListParagraph"/>
        <w:numPr>
          <w:ilvl w:val="0"/>
          <w:numId w:val="16"/>
        </w:numPr>
        <w:rPr>
          <w:rFonts w:cs="Arial"/>
          <w:szCs w:val="20"/>
          <w:lang w:val="es-CO"/>
        </w:rPr>
      </w:pPr>
      <w:r w:rsidRPr="00727C13">
        <w:rPr>
          <w:rFonts w:cs="Arial"/>
          <w:szCs w:val="20"/>
          <w:lang w:val="es-CO"/>
        </w:rPr>
        <w:t xml:space="preserve">En 2025, el fortalecimiento del modelo familiar y de los convenios docente-asistenciales permitió mejorar la oportunidad en </w:t>
      </w:r>
      <w:r>
        <w:rPr>
          <w:rFonts w:cs="Arial"/>
          <w:szCs w:val="20"/>
          <w:lang w:val="es-CO"/>
        </w:rPr>
        <w:t xml:space="preserve">esta </w:t>
      </w:r>
      <w:r w:rsidRPr="005A6701" w:rsidR="00F001D1">
        <w:rPr>
          <w:rFonts w:cs="Arial"/>
          <w:szCs w:val="20"/>
          <w:lang w:val="es-CO"/>
        </w:rPr>
        <w:t>especialidad</w:t>
      </w:r>
      <w:r w:rsidRPr="00727C13">
        <w:rPr>
          <w:rFonts w:cs="Arial"/>
          <w:szCs w:val="20"/>
          <w:lang w:val="es-CO"/>
        </w:rPr>
        <w:t xml:space="preserve">, pasando de 10,2 a 8,6 días. Este resultado evidencia una mejor capacidad de coordinación entre medicina general, medicina familiar y medicina interna, favoreciendo </w:t>
      </w:r>
      <w:r w:rsidRPr="00AF614D" w:rsidR="00F001D1">
        <w:rPr>
          <w:rFonts w:cs="Arial"/>
          <w:szCs w:val="20"/>
          <w:lang w:val="es-CO"/>
        </w:rPr>
        <w:t xml:space="preserve">la </w:t>
      </w:r>
      <w:r w:rsidRPr="00727C13">
        <w:rPr>
          <w:rFonts w:cs="Arial"/>
          <w:szCs w:val="20"/>
          <w:lang w:val="es-CO"/>
        </w:rPr>
        <w:t>continuidad y pertinencia clínica.</w:t>
      </w:r>
    </w:p>
    <w:p w:rsidRPr="00727C13" w:rsidR="002E3FA8" w:rsidP="00727C13" w:rsidRDefault="003D68F7" w14:paraId="241D28F9" w14:textId="0DBB9A50">
      <w:pPr>
        <w:pStyle w:val="ListParagraph"/>
        <w:numPr>
          <w:ilvl w:val="0"/>
          <w:numId w:val="16"/>
        </w:numPr>
        <w:spacing w:after="60"/>
        <w:rPr>
          <w:rFonts w:cs="Arial"/>
          <w:szCs w:val="20"/>
          <w:lang w:val="es-CO"/>
        </w:rPr>
      </w:pPr>
      <w:r w:rsidRPr="00727C13">
        <w:rPr>
          <w:rFonts w:cs="Arial"/>
          <w:szCs w:val="20"/>
          <w:lang w:val="es-CO"/>
        </w:rPr>
        <w:t>En pediatría se mantuvo una oportunidad estable de 3,9 días, lo que refleja gestión consistente de agendas</w:t>
      </w:r>
      <w:r w:rsidRPr="00727C13" w:rsidR="00727C13">
        <w:rPr>
          <w:rFonts w:cs="Arial"/>
          <w:szCs w:val="20"/>
          <w:lang w:val="es-CO"/>
        </w:rPr>
        <w:t xml:space="preserve"> y </w:t>
      </w:r>
      <w:r w:rsidR="00727C13">
        <w:rPr>
          <w:rFonts w:cs="Arial"/>
          <w:szCs w:val="20"/>
          <w:lang w:val="es-CO"/>
        </w:rPr>
        <w:t>e</w:t>
      </w:r>
      <w:r w:rsidRPr="00727C13" w:rsidR="00183278">
        <w:rPr>
          <w:rFonts w:cs="Arial"/>
          <w:szCs w:val="20"/>
          <w:lang w:val="es-CO"/>
        </w:rPr>
        <w:t xml:space="preserve">n ginecología y obstetricia la variación fue mínima, lo cual sugiere estabilidad en la contratación y en la gestión de agendas. En contraste, medicina interna mostró aumento importante en el tiempo de espera, </w:t>
      </w:r>
      <w:r w:rsidR="00AF614D">
        <w:rPr>
          <w:rFonts w:cs="Arial"/>
          <w:szCs w:val="20"/>
          <w:lang w:val="es-CO"/>
        </w:rPr>
        <w:t>aunque muy por debajo de metas de oportunidad establecidas a nivel nacional.</w:t>
      </w:r>
    </w:p>
    <w:p w:rsidR="00727C13" w:rsidRDefault="00727C13" w14:paraId="3D69A1B5" w14:textId="77777777">
      <w:pPr>
        <w:spacing w:after="60"/>
        <w:rPr>
          <w:rFonts w:cs="Arial"/>
          <w:b/>
          <w:szCs w:val="20"/>
          <w:lang w:val="es-CO"/>
        </w:rPr>
      </w:pPr>
    </w:p>
    <w:p w:rsidRPr="006D1556" w:rsidR="002E3FA8" w:rsidRDefault="005F28D9" w14:paraId="6FB2DE35" w14:textId="21FB3694">
      <w:pPr>
        <w:spacing w:after="60"/>
        <w:rPr>
          <w:rFonts w:cs="Arial"/>
          <w:szCs w:val="20"/>
          <w:lang w:val="es-CO"/>
        </w:rPr>
      </w:pPr>
      <w:r w:rsidRPr="006D1556">
        <w:rPr>
          <w:rFonts w:cs="Arial"/>
          <w:b/>
          <w:szCs w:val="20"/>
          <w:lang w:val="es-CO"/>
        </w:rPr>
        <w:t>Oportunidad en la clasificación de riesgo (Triage II) — Acceso equitativo y seguro</w:t>
      </w:r>
    </w:p>
    <w:p w:rsidRPr="006D1556" w:rsidR="002E3FA8" w:rsidRDefault="005F28D9" w14:paraId="3C037A16" w14:textId="072E0F9D">
      <w:pPr>
        <w:rPr>
          <w:rFonts w:cs="Arial"/>
          <w:szCs w:val="20"/>
          <w:lang w:val="es-CO"/>
        </w:rPr>
      </w:pPr>
      <w:r w:rsidRPr="006D1556">
        <w:rPr>
          <w:rFonts w:cs="Arial"/>
          <w:szCs w:val="20"/>
          <w:lang w:val="es-CO"/>
        </w:rPr>
        <w:t>En Colombia, la clasificación mediante triage constituye un mecanismo fundamental de equidad y justicia en salud, priorizando la atención según la gravedad clínica del paciente independientemente del orden de llegada, en consonancia con los principios de dignidad y trato digno reconocidos en la Política Nacional de Humanización en Salud.</w:t>
      </w:r>
    </w:p>
    <w:p w:rsidRPr="006D1556" w:rsidR="002E3FA8" w:rsidRDefault="005F28D9" w14:paraId="6C6F67F2" w14:textId="77777777">
      <w:pPr>
        <w:rPr>
          <w:rFonts w:cs="Arial"/>
          <w:szCs w:val="20"/>
          <w:lang w:val="es-CO"/>
        </w:rPr>
      </w:pPr>
      <w:r w:rsidRPr="006D1556">
        <w:rPr>
          <w:rFonts w:cs="Arial"/>
          <w:szCs w:val="20"/>
          <w:lang w:val="es-CO"/>
        </w:rPr>
        <w:t>Durante la vigencia 2025, la Red de Salud del Centro E.S.E. mantuvo el cumplimiento de su meta institucional de ≤30 minutos en la atención a pacientes clasificados como Triage II (prioridad alta), con un promedio anual de 19.7 minutos, evidenciando una mejora sostenida de 3.9 minutos (17.0%) frente a 2024 (23.8 minutos).</w:t>
      </w:r>
    </w:p>
    <w:p w:rsidR="00727C13" w:rsidRDefault="00727C13" w14:paraId="2A81AA87" w14:textId="77777777">
      <w:pPr>
        <w:spacing w:after="60"/>
        <w:rPr>
          <w:rFonts w:cs="Arial"/>
          <w:b/>
          <w:szCs w:val="20"/>
          <w:lang w:val="es-CO"/>
        </w:rPr>
      </w:pPr>
    </w:p>
    <w:p w:rsidRPr="006D1556" w:rsidR="002E3FA8" w:rsidRDefault="005F28D9" w14:paraId="08F39379" w14:textId="0D199BFB">
      <w:pPr>
        <w:spacing w:after="60"/>
        <w:rPr>
          <w:rFonts w:cs="Arial"/>
          <w:szCs w:val="20"/>
          <w:lang w:val="es-CO"/>
        </w:rPr>
      </w:pPr>
      <w:r w:rsidRPr="006D1556">
        <w:rPr>
          <w:rFonts w:cs="Arial"/>
          <w:b/>
          <w:szCs w:val="20"/>
          <w:lang w:val="es-CO"/>
        </w:rPr>
        <w:t>Proyectos de Impacto en el Distrito de Santiago de Cali en Cifras:</w:t>
      </w:r>
    </w:p>
    <w:p w:rsidRPr="006D1556" w:rsidR="002E3FA8" w:rsidRDefault="005F28D9" w14:paraId="036D3372" w14:textId="54EFFB01">
      <w:pPr>
        <w:spacing w:after="60"/>
        <w:rPr>
          <w:rFonts w:cs="Arial"/>
          <w:szCs w:val="20"/>
          <w:lang w:val="es-CO"/>
        </w:rPr>
      </w:pPr>
      <w:r w:rsidRPr="006D1556">
        <w:rPr>
          <w:rFonts w:cs="Arial"/>
          <w:b/>
          <w:szCs w:val="20"/>
          <w:lang w:val="es-CO"/>
        </w:rPr>
        <w:t>Sistema Integrado</w:t>
      </w:r>
      <w:r w:rsidR="00727C13">
        <w:rPr>
          <w:rFonts w:cs="Arial"/>
          <w:b/>
          <w:szCs w:val="20"/>
          <w:lang w:val="es-CO"/>
        </w:rPr>
        <w:t xml:space="preserve"> </w:t>
      </w:r>
      <w:r w:rsidRPr="006D1556" w:rsidR="00727C13">
        <w:rPr>
          <w:rFonts w:cs="Arial"/>
          <w:b/>
          <w:szCs w:val="20"/>
          <w:lang w:val="es-CO"/>
        </w:rPr>
        <w:t>de Comunicaciones</w:t>
      </w:r>
      <w:r w:rsidR="00727C13">
        <w:rPr>
          <w:rFonts w:cs="Arial"/>
          <w:b/>
          <w:szCs w:val="20"/>
          <w:lang w:val="es-CO"/>
        </w:rPr>
        <w:t xml:space="preserve"> </w:t>
      </w:r>
      <w:r w:rsidRPr="006D1556">
        <w:rPr>
          <w:rFonts w:cs="Arial"/>
          <w:b/>
          <w:szCs w:val="20"/>
          <w:lang w:val="es-CO"/>
        </w:rPr>
        <w:t>en Salud</w:t>
      </w:r>
      <w:r w:rsidR="00727C13">
        <w:rPr>
          <w:rFonts w:cs="Arial"/>
          <w:b/>
          <w:szCs w:val="20"/>
          <w:lang w:val="es-CO"/>
        </w:rPr>
        <w:t xml:space="preserve"> y CRUE Distrital</w:t>
      </w:r>
      <w:r w:rsidRPr="006D1556">
        <w:rPr>
          <w:rFonts w:cs="Arial"/>
          <w:b/>
          <w:szCs w:val="20"/>
          <w:lang w:val="es-CO"/>
        </w:rPr>
        <w:t xml:space="preserve"> </w:t>
      </w:r>
      <w:r w:rsidR="00727C13">
        <w:rPr>
          <w:rFonts w:cs="Arial"/>
          <w:b/>
          <w:szCs w:val="20"/>
          <w:lang w:val="es-CO"/>
        </w:rPr>
        <w:t xml:space="preserve">y Línea de salud mental Línea 106. </w:t>
      </w:r>
    </w:p>
    <w:p w:rsidRPr="006D1556" w:rsidR="002E3FA8" w:rsidP="001A3CEC" w:rsidRDefault="001A3CEC" w14:paraId="024CDCE1" w14:textId="77777777">
      <w:pPr>
        <w:rPr>
          <w:rFonts w:cs="Arial"/>
          <w:szCs w:val="20"/>
          <w:lang w:val="es-CO"/>
        </w:rPr>
      </w:pPr>
      <w:r w:rsidRPr="006D1556">
        <w:rPr>
          <w:rFonts w:cs="Arial"/>
          <w:szCs w:val="20"/>
          <w:lang w:val="es-CO"/>
        </w:rPr>
        <w:t xml:space="preserve">La Red de Salud del Centro E.S.E. </w:t>
      </w:r>
      <w:r>
        <w:rPr>
          <w:rFonts w:cs="Arial"/>
          <w:szCs w:val="20"/>
          <w:lang w:val="es-CO"/>
        </w:rPr>
        <w:t>opera</w:t>
      </w:r>
      <w:r w:rsidRPr="006D1556">
        <w:rPr>
          <w:rFonts w:cs="Arial"/>
          <w:szCs w:val="20"/>
          <w:lang w:val="es-CO"/>
        </w:rPr>
        <w:t xml:space="preserve"> dos sistemas estratégicos de acceso y atención integrada</w:t>
      </w:r>
      <w:r w:rsidRPr="00887EA8" w:rsidR="00887EA8">
        <w:rPr>
          <w:lang w:val="es-CO"/>
        </w:rPr>
        <w:t>:</w:t>
      </w:r>
      <w:r>
        <w:rPr>
          <w:rFonts w:cs="Arial"/>
          <w:szCs w:val="20"/>
          <w:lang w:val="es-CO"/>
        </w:rPr>
        <w:t xml:space="preserve"> e</w:t>
      </w:r>
      <w:r w:rsidRPr="006D1556">
        <w:rPr>
          <w:rFonts w:cs="Arial"/>
          <w:szCs w:val="20"/>
          <w:lang w:val="es-CO"/>
        </w:rPr>
        <w:t xml:space="preserve">l Sistema Integrado de Comunicaciones </w:t>
      </w:r>
      <w:r w:rsidRPr="00887EA8" w:rsidR="00887EA8">
        <w:rPr>
          <w:lang w:val="es-CO"/>
        </w:rPr>
        <w:t xml:space="preserve">en Salud y CRUE Distrital </w:t>
      </w:r>
      <w:r w:rsidRPr="006D1556">
        <w:rPr>
          <w:rFonts w:cs="Arial"/>
          <w:szCs w:val="20"/>
          <w:lang w:val="es-CO"/>
        </w:rPr>
        <w:t xml:space="preserve">(SICO-CRUE) </w:t>
      </w:r>
      <w:r>
        <w:rPr>
          <w:rFonts w:cs="Arial"/>
          <w:szCs w:val="20"/>
          <w:lang w:val="es-CO"/>
        </w:rPr>
        <w:t xml:space="preserve">y la </w:t>
      </w:r>
      <w:r w:rsidRPr="006D1556">
        <w:rPr>
          <w:rFonts w:cs="Arial"/>
          <w:szCs w:val="20"/>
          <w:lang w:val="es-CO"/>
        </w:rPr>
        <w:t>Línea 106 de atención en salud mental</w:t>
      </w:r>
      <w:r>
        <w:rPr>
          <w:rFonts w:cs="Arial"/>
          <w:szCs w:val="20"/>
          <w:lang w:val="es-CO"/>
        </w:rPr>
        <w:t xml:space="preserve">. El CRUE </w:t>
      </w:r>
      <w:r w:rsidRPr="006D1556">
        <w:rPr>
          <w:rFonts w:cs="Arial"/>
          <w:szCs w:val="20"/>
          <w:lang w:val="es-CO"/>
        </w:rPr>
        <w:t xml:space="preserve">registró 20.405 referencias en 2025 </w:t>
      </w:r>
      <w:r w:rsidRPr="00887EA8" w:rsidR="00887EA8">
        <w:rPr>
          <w:lang w:val="es-CO"/>
        </w:rPr>
        <w:t>frente a</w:t>
      </w:r>
      <w:r w:rsidRPr="006D1556">
        <w:rPr>
          <w:rFonts w:cs="Arial"/>
          <w:szCs w:val="20"/>
          <w:lang w:val="es-CO"/>
        </w:rPr>
        <w:t xml:space="preserve"> 22.222 en 2024, </w:t>
      </w:r>
      <w:r w:rsidRPr="00887EA8" w:rsidR="00887EA8">
        <w:rPr>
          <w:lang w:val="es-CO"/>
        </w:rPr>
        <w:t xml:space="preserve">con una </w:t>
      </w:r>
      <w:r w:rsidRPr="006D1556">
        <w:rPr>
          <w:rFonts w:cs="Arial"/>
          <w:szCs w:val="20"/>
          <w:lang w:val="es-CO"/>
        </w:rPr>
        <w:t>variación de -8</w:t>
      </w:r>
      <w:r w:rsidRPr="00887EA8" w:rsidR="00887EA8">
        <w:rPr>
          <w:lang w:val="es-CO"/>
        </w:rPr>
        <w:t>,</w:t>
      </w:r>
      <w:r w:rsidRPr="006D1556">
        <w:rPr>
          <w:rFonts w:cs="Arial"/>
          <w:szCs w:val="20"/>
          <w:lang w:val="es-CO"/>
        </w:rPr>
        <w:t>2</w:t>
      </w:r>
      <w:r w:rsidRPr="00887EA8" w:rsidR="00887EA8">
        <w:rPr>
          <w:lang w:val="es-CO"/>
        </w:rPr>
        <w:t>%, comportamiento</w:t>
      </w:r>
      <w:r w:rsidRPr="006D1556">
        <w:rPr>
          <w:rFonts w:cs="Arial"/>
          <w:szCs w:val="20"/>
          <w:lang w:val="es-CO"/>
        </w:rPr>
        <w:t xml:space="preserve"> que refleja optimización en la filtración de referencias innecesarias y fortalecimiento de la resolutividad en </w:t>
      </w:r>
      <w:r w:rsidRPr="00887EA8" w:rsidR="00887EA8">
        <w:rPr>
          <w:lang w:val="es-CO"/>
        </w:rPr>
        <w:t xml:space="preserve">el </w:t>
      </w:r>
      <w:r w:rsidRPr="006D1556">
        <w:rPr>
          <w:rFonts w:cs="Arial"/>
          <w:szCs w:val="20"/>
          <w:lang w:val="es-CO"/>
        </w:rPr>
        <w:t>primer nivel de atención.</w:t>
      </w:r>
    </w:p>
    <w:p w:rsidRPr="006D1556" w:rsidR="002E3FA8" w:rsidP="001A3CEC" w:rsidRDefault="001A3CEC" w14:paraId="20B6FB05" w14:textId="77777777">
      <w:pPr>
        <w:rPr>
          <w:rFonts w:cs="Arial"/>
          <w:szCs w:val="20"/>
          <w:lang w:val="es-CO"/>
        </w:rPr>
      </w:pPr>
      <w:r>
        <w:rPr>
          <w:rFonts w:cs="Arial"/>
          <w:szCs w:val="20"/>
          <w:lang w:val="es-CO"/>
        </w:rPr>
        <w:t xml:space="preserve">En </w:t>
      </w:r>
      <w:r w:rsidRPr="009B07D7" w:rsidR="009B07D7">
        <w:rPr>
          <w:lang w:val="es-CO"/>
        </w:rPr>
        <w:t xml:space="preserve">cuanto a </w:t>
      </w:r>
      <w:r>
        <w:rPr>
          <w:rFonts w:cs="Arial"/>
          <w:szCs w:val="20"/>
          <w:lang w:val="es-CO"/>
        </w:rPr>
        <w:t xml:space="preserve">la </w:t>
      </w:r>
      <w:r w:rsidRPr="009B07D7" w:rsidR="009B07D7">
        <w:rPr>
          <w:lang w:val="es-CO"/>
        </w:rPr>
        <w:t>Línea</w:t>
      </w:r>
      <w:r>
        <w:rPr>
          <w:rFonts w:cs="Arial"/>
          <w:szCs w:val="20"/>
          <w:lang w:val="es-CO"/>
        </w:rPr>
        <w:t xml:space="preserve"> 106, </w:t>
      </w:r>
      <w:r w:rsidRPr="009B07D7" w:rsidR="009B07D7">
        <w:rPr>
          <w:lang w:val="es-CO"/>
        </w:rPr>
        <w:t>durante 2025 se atendieron</w:t>
      </w:r>
      <w:r w:rsidRPr="006D1556">
        <w:rPr>
          <w:rFonts w:cs="Arial"/>
          <w:szCs w:val="20"/>
          <w:lang w:val="es-CO"/>
        </w:rPr>
        <w:t xml:space="preserve"> 41.299 llamadas </w:t>
      </w:r>
      <w:r w:rsidRPr="009B07D7" w:rsidR="009B07D7">
        <w:rPr>
          <w:lang w:val="es-CO"/>
        </w:rPr>
        <w:t>y se generaron</w:t>
      </w:r>
      <w:r w:rsidRPr="006D1556">
        <w:rPr>
          <w:rFonts w:cs="Arial"/>
          <w:szCs w:val="20"/>
          <w:lang w:val="es-CO"/>
        </w:rPr>
        <w:t xml:space="preserve"> 14.198 casos documentados</w:t>
      </w:r>
      <w:r w:rsidRPr="009B07D7" w:rsidR="009B07D7">
        <w:rPr>
          <w:lang w:val="es-CO"/>
        </w:rPr>
        <w:t>. Este servicio se consolidó como</w:t>
      </w:r>
      <w:r w:rsidRPr="006D1556">
        <w:rPr>
          <w:rFonts w:cs="Arial"/>
          <w:szCs w:val="20"/>
          <w:lang w:val="es-CO"/>
        </w:rPr>
        <w:t xml:space="preserve"> primera respuesta en salud mental de baja complejidad mediante atención telefónica disponible 24/7, </w:t>
      </w:r>
      <w:r w:rsidRPr="009B07D7" w:rsidR="009B07D7">
        <w:rPr>
          <w:lang w:val="es-CO"/>
        </w:rPr>
        <w:t>evitando</w:t>
      </w:r>
      <w:r w:rsidRPr="006D1556">
        <w:rPr>
          <w:rFonts w:cs="Arial"/>
          <w:szCs w:val="20"/>
          <w:lang w:val="es-CO"/>
        </w:rPr>
        <w:t xml:space="preserve"> derivaciones innecesarias a urgencias y </w:t>
      </w:r>
      <w:r w:rsidRPr="009B07D7" w:rsidR="009B07D7">
        <w:rPr>
          <w:lang w:val="es-CO"/>
        </w:rPr>
        <w:t>fortaleciendo</w:t>
      </w:r>
      <w:r w:rsidRPr="006D1556">
        <w:rPr>
          <w:rFonts w:cs="Arial"/>
          <w:szCs w:val="20"/>
          <w:lang w:val="es-CO"/>
        </w:rPr>
        <w:t xml:space="preserve"> la atención en territorio.</w:t>
      </w:r>
    </w:p>
    <w:p w:rsidRPr="006D1556" w:rsidR="002E3FA8" w:rsidRDefault="005F28D9" w14:paraId="71CE5A09" w14:textId="14D1391C">
      <w:pPr>
        <w:rPr>
          <w:rFonts w:cs="Arial"/>
          <w:szCs w:val="20"/>
          <w:lang w:val="es-CO"/>
        </w:rPr>
      </w:pPr>
      <w:r w:rsidRPr="006D1556">
        <w:rPr>
          <w:rFonts w:cs="Arial"/>
          <w:szCs w:val="20"/>
          <w:lang w:val="es-CO"/>
        </w:rPr>
        <w:t xml:space="preserve">El desagregue de intervenciones evidencia un modelo de atención psicosocial diferenciado: 8.922 intervenciones fueron suministro de información y orientación (63%), 3.181 atención psicosocial directa (22%), 1.297 intervención en crisis (9%), 464 activación de ruta de derivación (3%) y 334 psicoeducación (2%), demostrando que la mayoría de </w:t>
      </w:r>
      <w:r w:rsidRPr="006D1556" w:rsidR="008922E6">
        <w:rPr>
          <w:rFonts w:cs="Arial"/>
          <w:szCs w:val="20"/>
          <w:lang w:val="es-CO"/>
        </w:rPr>
        <w:t>los usuarios</w:t>
      </w:r>
      <w:r w:rsidRPr="006D1556">
        <w:rPr>
          <w:rFonts w:cs="Arial"/>
          <w:szCs w:val="20"/>
          <w:lang w:val="es-CO"/>
        </w:rPr>
        <w:t xml:space="preserve"> (63%) requiere información y contención emocional, no derivación, reflejando modelo centrado en prevención y primera línea de atención.</w:t>
      </w:r>
    </w:p>
    <w:p w:rsidR="008922E6" w:rsidP="008922E6" w:rsidRDefault="008922E6" w14:paraId="5DD4E588" w14:textId="760A83B2">
      <w:pPr>
        <w:spacing w:after="60"/>
        <w:rPr>
          <w:rFonts w:cs="Arial"/>
          <w:szCs w:val="20"/>
          <w:lang w:val="es-CO"/>
        </w:rPr>
      </w:pPr>
      <w:r w:rsidRPr="008922E6">
        <w:rPr>
          <w:rFonts w:cs="Arial"/>
          <w:szCs w:val="20"/>
          <w:lang w:val="es-CO"/>
        </w:rPr>
        <w:t>La articulación de los procesos de derivación y referencia refleja un modelo de atención centrado en la prevención, la detección temprana y la primera línea de atención, garantizando una respuesta oportuna a las necesidades de salud mental de la población. Estos mecanismos favorecen el acceso equitativo a los servicios especializados para poblaciones vulnerables, reducen los tiempos de espera para la atención especializada y contribuyen a la prevención de crisis mediante intervenciones tempranas y oportunas.</w:t>
      </w:r>
    </w:p>
    <w:p w:rsidRPr="008922E6" w:rsidR="008922E6" w:rsidP="008922E6" w:rsidRDefault="008922E6" w14:paraId="4B7676A9" w14:textId="77777777">
      <w:pPr>
        <w:spacing w:after="60"/>
        <w:rPr>
          <w:rFonts w:cs="Arial"/>
          <w:szCs w:val="20"/>
          <w:lang w:val="es-CO"/>
        </w:rPr>
      </w:pPr>
      <w:r w:rsidRPr="008922E6">
        <w:rPr>
          <w:rFonts w:cs="Arial"/>
          <w:szCs w:val="20"/>
          <w:lang w:val="es-CO"/>
        </w:rPr>
        <w:t>Asimismo, el acompañamiento y la coordinación con el Centro Regulador de Urgencias, Emergencias y Desastres (CRUE) fortalecen la gestión de los casos que requieren atención prioritaria o articulación interinstitucional, facilitando la referencia oportuna de los usuarios, el seguimiento de situaciones de riesgo y la continuidad en la atención. Esta integración permite optimizar la capacidad de respuesta de la red de servicios y garantizar una atención más resolutiva para la población.</w:t>
      </w:r>
    </w:p>
    <w:p w:rsidR="008922E6" w:rsidRDefault="008922E6" w14:paraId="077C8B67" w14:textId="77777777">
      <w:pPr>
        <w:spacing w:after="60"/>
        <w:rPr>
          <w:rFonts w:cs="Arial"/>
          <w:b/>
          <w:szCs w:val="20"/>
          <w:lang w:val="es-CO"/>
        </w:rPr>
      </w:pPr>
    </w:p>
    <w:p w:rsidRPr="006D1556" w:rsidR="002E3FA8" w:rsidRDefault="005F28D9" w14:paraId="6A890CB3" w14:textId="4FFCA56A">
      <w:pPr>
        <w:spacing w:after="60"/>
        <w:rPr>
          <w:rFonts w:cs="Arial"/>
          <w:szCs w:val="20"/>
          <w:lang w:val="es-CO"/>
        </w:rPr>
      </w:pPr>
      <w:r w:rsidRPr="006D1556">
        <w:rPr>
          <w:rFonts w:cs="Arial"/>
          <w:b/>
          <w:szCs w:val="20"/>
          <w:lang w:val="es-CO"/>
        </w:rPr>
        <w:t>Participación y Voz del Usuario en el Ciclo de Mejora</w:t>
      </w:r>
    </w:p>
    <w:p w:rsidRPr="006D1556" w:rsidR="002E3FA8" w:rsidRDefault="005F28D9" w14:paraId="26B9147B" w14:textId="77777777">
      <w:pPr>
        <w:rPr>
          <w:rFonts w:cs="Arial"/>
          <w:szCs w:val="20"/>
          <w:lang w:val="es-CO"/>
        </w:rPr>
      </w:pPr>
      <w:r w:rsidRPr="006D1556">
        <w:rPr>
          <w:rFonts w:cs="Arial"/>
          <w:szCs w:val="20"/>
          <w:lang w:val="es-CO"/>
        </w:rPr>
        <w:t>Durante 2025, la Red registró 1.089 reclamos, 424 felicitaciones, 78 peticiones, 41 sugerencias y 34 quejas, totalizando 1.666 manifestaciones que alimentaron el ciclo de mejora continua (PHVA). Este volumen de participación, cuyas tendencias serán analizadas según tipología, confirma tanto los aciertos en la respuesta humanizada como las oportunidades de ajuste en procesos críticos. La preponderancia de felicitaciones (37% de las manifestaciones) sugiere apropiación por los usuarios de los cambios implementados, mientras que la naturaleza de reclamos orienta futuras acciones de mejora.</w:t>
      </w:r>
    </w:p>
    <w:p w:rsidR="008922E6" w:rsidP="10C93EC1" w:rsidRDefault="008922E6" w14:paraId="0B59069B" w14:textId="77777777">
      <w:pPr>
        <w:rPr>
          <w:rFonts w:cs="Arial"/>
          <w:b/>
          <w:bCs/>
          <w:lang w:val="es-CO"/>
        </w:rPr>
      </w:pPr>
    </w:p>
    <w:p w:rsidR="10C93EC1" w:rsidP="10C93EC1" w:rsidRDefault="10C93EC1" w14:paraId="76129D60" w14:textId="007B64A6">
      <w:pPr>
        <w:rPr>
          <w:rFonts w:cs="Arial"/>
          <w:b/>
          <w:bCs/>
          <w:lang w:val="es-CO"/>
        </w:rPr>
      </w:pPr>
    </w:p>
    <w:p w:rsidR="10C93EC1" w:rsidP="10C93EC1" w:rsidRDefault="10C93EC1" w14:paraId="3FEFCF2E" w14:textId="6B6F8915">
      <w:pPr>
        <w:rPr>
          <w:rFonts w:cs="Arial"/>
          <w:b/>
          <w:bCs/>
          <w:lang w:val="es-CO"/>
        </w:rPr>
      </w:pPr>
    </w:p>
    <w:p w:rsidR="10C93EC1" w:rsidP="10C93EC1" w:rsidRDefault="10C93EC1" w14:paraId="5DF13048" w14:textId="52785A37">
      <w:pPr>
        <w:rPr>
          <w:rFonts w:cs="Arial"/>
          <w:b/>
          <w:bCs/>
          <w:lang w:val="es-CO"/>
        </w:rPr>
      </w:pPr>
    </w:p>
    <w:p w:rsidRPr="006D1556" w:rsidR="002E3FA8" w:rsidRDefault="005F28D9" w14:paraId="25538A47" w14:textId="287E2B8A">
      <w:pPr>
        <w:rPr>
          <w:rFonts w:cs="Arial"/>
          <w:szCs w:val="20"/>
          <w:lang w:val="es-CO"/>
        </w:rPr>
      </w:pPr>
      <w:r w:rsidRPr="006D1556">
        <w:rPr>
          <w:rFonts w:cs="Arial"/>
          <w:b/>
          <w:szCs w:val="20"/>
          <w:lang w:val="es-CO"/>
        </w:rPr>
        <w:t>Dra. Ángela Calero Manco — Subgerente Administrativa</w:t>
      </w:r>
    </w:p>
    <w:p w:rsidRPr="006D1556" w:rsidR="002E3FA8" w:rsidRDefault="005F28D9" w14:paraId="10EC863C" w14:textId="77777777">
      <w:pPr>
        <w:spacing w:after="60"/>
        <w:rPr>
          <w:rFonts w:cs="Arial"/>
          <w:szCs w:val="20"/>
          <w:lang w:val="es-CO"/>
        </w:rPr>
      </w:pPr>
      <w:r w:rsidRPr="006D1556">
        <w:rPr>
          <w:rFonts w:cs="Arial"/>
          <w:b/>
          <w:szCs w:val="20"/>
          <w:lang w:val="es-CO"/>
        </w:rPr>
        <w:t>Desempeño Presupuestal y Financiero 2025</w:t>
      </w:r>
    </w:p>
    <w:p w:rsidRPr="006D1556" w:rsidR="002E3FA8" w:rsidRDefault="005F28D9" w14:paraId="5CE6675D" w14:textId="77777777">
      <w:pPr>
        <w:rPr>
          <w:rFonts w:cs="Arial"/>
          <w:szCs w:val="20"/>
          <w:lang w:val="es-CO"/>
        </w:rPr>
      </w:pPr>
      <w:r w:rsidRPr="006D1556">
        <w:rPr>
          <w:rFonts w:cs="Arial"/>
          <w:szCs w:val="20"/>
          <w:lang w:val="es-CO"/>
        </w:rPr>
        <w:t>Durante la vigencia 2025, la Red de Salud del Centro E.S.E. presentó un desempeño financiero caracterizado por la ampliación significativa de su capacidad operativa y la mejora en la gestión de ingresos. El presupuesto definitivo de $111.767.644.014 representó un crecimiento del 47% respecto al presupuesto inicial de $76.214.286.276, producto de la incorporación de recursos provenientes de proyectos de Atención Primaria en Salud (APS), reposición de infraestructura hospitalaria, ampliación del Centro de Atención Móvil de Diagnóstico (CAMAD), otorgamiento de certificados de discapacidad y operación de unidades móviles.</w:t>
      </w:r>
    </w:p>
    <w:p w:rsidRPr="006D1556" w:rsidR="002E3FA8" w:rsidRDefault="005F28D9" w14:paraId="0E184423" w14:textId="77777777">
      <w:pPr>
        <w:rPr>
          <w:rFonts w:cs="Arial"/>
          <w:szCs w:val="20"/>
          <w:lang w:val="es-CO"/>
        </w:rPr>
      </w:pPr>
      <w:r w:rsidRPr="006D1556">
        <w:rPr>
          <w:rFonts w:cs="Arial"/>
          <w:szCs w:val="20"/>
          <w:lang w:val="es-CO"/>
        </w:rPr>
        <w:t>En materia de ejecución de ingresos, la entidad alcanzó un reconocimiento total de $111.573.968.095, equivalente al 99,83% del presupuesto definitivo, con la incorporación de $12.540.452.802 en recursos adicionales de los mecanismos previamente descritos. Con respecto a la ejecución del gasto, se comprometieron $88.139.438.883, cifra que representa el 79% del presupuesto final, distribuida en funcionamiento (73%), gastos operativos (6%), gastos generales (6%), inversión (3,3%) y cuentas por pagar de vigencias anteriores (17%).</w:t>
      </w:r>
    </w:p>
    <w:p w:rsidRPr="006D1556" w:rsidR="002E3FA8" w:rsidP="001A3CEC" w:rsidRDefault="001A3CEC" w14:paraId="6EC82634" w14:textId="77777777">
      <w:pPr>
        <w:rPr>
          <w:rFonts w:cs="Arial"/>
          <w:szCs w:val="20"/>
          <w:lang w:val="es-CO"/>
        </w:rPr>
      </w:pPr>
      <w:r w:rsidRPr="006D1556">
        <w:rPr>
          <w:rFonts w:cs="Arial"/>
          <w:szCs w:val="20"/>
          <w:lang w:val="es-CO"/>
        </w:rPr>
        <w:t xml:space="preserve">En cuanto a la gestión de cartera, la entidad registró cuentas por cobrar por valor de $13.654.563.136, distribuidas según régimen de afiliación: subsidiado por eventos (36%), subsidiado por </w:t>
      </w:r>
      <w:r w:rsidRPr="008A295E" w:rsidR="008A295E">
        <w:rPr>
          <w:lang w:val="es-CO"/>
        </w:rPr>
        <w:t>cápita</w:t>
      </w:r>
      <w:r w:rsidRPr="006D1556">
        <w:rPr>
          <w:rFonts w:cs="Arial"/>
          <w:szCs w:val="20"/>
          <w:lang w:val="es-CO"/>
        </w:rPr>
        <w:t xml:space="preserve"> (34,03%) y régimen contributivo (16,99%), de las cuales se logró gestionar el 87% ($11.922.077.123). El comportamiento de la cartera total mostró un incremento significativo: en 2023 alcanzó $10.510.678.102; en 2024, $14.437.804.630, y en 2025, $22.851.654.385, representando una variación del 59% entre 2024 y 2025, resultado que refleja el incremento en la facturación derivado de la ampliación de la prestación de servicios, particularmente en el régimen subsidiado. No obstante, la institución cerró el año 2025 sin indicadores de riesgo financiero.</w:t>
      </w:r>
    </w:p>
    <w:p w:rsidRPr="006D1556" w:rsidR="002E3FA8" w:rsidRDefault="005F28D9" w14:paraId="53FF9DDD" w14:textId="77777777">
      <w:pPr>
        <w:rPr>
          <w:rFonts w:cs="Arial"/>
          <w:szCs w:val="20"/>
          <w:lang w:val="es-CO"/>
        </w:rPr>
      </w:pPr>
      <w:r w:rsidRPr="006D1556">
        <w:rPr>
          <w:rFonts w:cs="Arial"/>
          <w:szCs w:val="20"/>
          <w:lang w:val="es-CO"/>
        </w:rPr>
        <w:t>En materia de ingresos por ventas de servicios, se evidencia una trayectoria creciente: $57.618.325.606 en 2023, $64.445.279.006 en 2024, y $73.669.055.310 en 2025, representando un incremento del 14% en ventas y del 8% en recaudos respecto a 2024.</w:t>
      </w:r>
    </w:p>
    <w:p w:rsidRPr="006D1556" w:rsidR="002E3FA8" w:rsidRDefault="005F28D9" w14:paraId="10581CB3" w14:textId="77777777">
      <w:pPr>
        <w:rPr>
          <w:rFonts w:cs="Arial"/>
          <w:szCs w:val="20"/>
          <w:lang w:val="es-CO"/>
        </w:rPr>
      </w:pPr>
      <w:r w:rsidRPr="006D1556">
        <w:rPr>
          <w:rFonts w:cs="Arial"/>
          <w:szCs w:val="20"/>
          <w:lang w:val="es-CO"/>
        </w:rPr>
        <w:t>Durante 2025, la institución ejecutó obras de infraestructura estratégicas en Hospital Primitivo Iglesias (demolición, excavación, cimentación y fundición de zapatas), proyectó la apertura de IPS Aguablanca e IPS Belalcázar, y realizó acciones de mantenimiento preventivo en las sedes Rodeo, Diego Lalinde, Panamericano, Doce de Octubre y Santiago Rengifo. Complementariamente, el Ministerio de Salud entregó 4 ambulancias, mejorando significativamente la capacidad operativa del pool de transporte asistencial.</w:t>
      </w:r>
    </w:p>
    <w:p w:rsidR="00B702D6" w:rsidRDefault="00B702D6" w14:paraId="7DADB808" w14:textId="77777777">
      <w:pPr>
        <w:rPr>
          <w:rFonts w:cs="Arial"/>
          <w:b/>
          <w:szCs w:val="20"/>
          <w:lang w:val="es-CO"/>
        </w:rPr>
      </w:pPr>
    </w:p>
    <w:p w:rsidRPr="006D1556" w:rsidR="002E3FA8" w:rsidRDefault="005F28D9" w14:paraId="1F51CAB5" w14:textId="166D644E">
      <w:pPr>
        <w:rPr>
          <w:rFonts w:cs="Arial"/>
          <w:szCs w:val="20"/>
          <w:lang w:val="es-CO"/>
        </w:rPr>
      </w:pPr>
      <w:r w:rsidRPr="006D1556">
        <w:rPr>
          <w:rFonts w:cs="Arial"/>
          <w:b/>
          <w:szCs w:val="20"/>
          <w:lang w:val="es-CO"/>
        </w:rPr>
        <w:t>Dra. Nancy Johana Deaza Hernández — Líder de Gestión de Planeación Institucional</w:t>
      </w:r>
    </w:p>
    <w:p w:rsidRPr="006D1556" w:rsidR="002E3FA8" w:rsidRDefault="005F28D9" w14:paraId="1FDA46C4" w14:textId="77777777">
      <w:pPr>
        <w:spacing w:after="60"/>
        <w:rPr>
          <w:rFonts w:cs="Arial"/>
          <w:szCs w:val="20"/>
          <w:lang w:val="es-CO"/>
        </w:rPr>
      </w:pPr>
      <w:r w:rsidRPr="006D1556">
        <w:rPr>
          <w:rFonts w:cs="Arial"/>
          <w:b/>
          <w:szCs w:val="20"/>
          <w:lang w:val="es-CO"/>
        </w:rPr>
        <w:t>Respuesta Institucional a Determinantes Sociales de la Salud y Gestión del Riesgo: de la Caracterización a los Resultados</w:t>
      </w:r>
    </w:p>
    <w:p w:rsidRPr="006D1556" w:rsidR="002E3FA8" w:rsidRDefault="005F28D9" w14:paraId="13D98BD9" w14:textId="77777777">
      <w:r w:rsidRPr="10C93EC1">
        <w:rPr>
          <w:rFonts w:cs="Arial"/>
          <w:lang w:val="es-CO"/>
        </w:rPr>
        <w:t>Durante la vigencia 2025, la Red de Salud del Centro E.S.E. profundizó significativamente su enfoque territorial mediante el análisis integral de determinantes sociales de la salud, ampliando exponencialmente la cobertura de caracterización familiar y diseñando respuestas institucionales diferenciadas por contexto comunitario.</w:t>
      </w:r>
    </w:p>
    <w:p w:rsidR="10C93EC1" w:rsidP="10C93EC1" w:rsidRDefault="10C93EC1" w14:paraId="64DA8C53" w14:textId="0D0E3F7E">
      <w:pPr>
        <w:rPr>
          <w:rFonts w:cs="Arial"/>
          <w:lang w:val="es-CO"/>
        </w:rPr>
      </w:pPr>
    </w:p>
    <w:p w:rsidRPr="006D1556" w:rsidR="002E3FA8" w:rsidRDefault="005F28D9" w14:paraId="1BD6B19E" w14:textId="77777777">
      <w:pPr>
        <w:spacing w:after="60"/>
        <w:rPr>
          <w:rFonts w:cs="Arial"/>
          <w:szCs w:val="20"/>
          <w:lang w:val="es-CO"/>
        </w:rPr>
      </w:pPr>
      <w:r w:rsidRPr="006D1556">
        <w:rPr>
          <w:rFonts w:cs="Arial"/>
          <w:b/>
          <w:szCs w:val="20"/>
          <w:lang w:val="es-CO"/>
        </w:rPr>
        <w:t>Ampliación de la Gestión Territorial del Riesgo</w:t>
      </w:r>
    </w:p>
    <w:p w:rsidRPr="006D1556" w:rsidR="002E3FA8" w:rsidRDefault="005F28D9" w14:paraId="1668AD34" w14:textId="77777777">
      <w:pPr>
        <w:rPr>
          <w:rFonts w:cs="Arial"/>
          <w:szCs w:val="20"/>
          <w:lang w:val="es-CO"/>
        </w:rPr>
      </w:pPr>
      <w:r w:rsidRPr="006D1556">
        <w:rPr>
          <w:rFonts w:cs="Arial"/>
          <w:szCs w:val="20"/>
          <w:lang w:val="es-CO"/>
        </w:rPr>
        <w:t>La visita domiciliaria y caracterización sociofamiliar experimentó un crecimiento sin precedentes: 115.609 hogares fueron intervenidos (11,6 veces más que los 10.000 registrados en 2024) y 139.781 familias recibieron caracterización integral (13,1 veces respecto a 2024). Paralelamente, se implementaron 79 planes de intervención comunitaria territorializados, 7,9 veces más que los 10 planes de 2024, evidenciando un tránsito desde un enfoque reactivo hacia una gestión proactiva y basada en riesgo conforme a los estándares de la acreditación.</w:t>
      </w:r>
    </w:p>
    <w:p w:rsidRPr="006D1556" w:rsidR="002E3FA8" w:rsidRDefault="005F28D9" w14:paraId="48C95D36" w14:textId="77777777">
      <w:pPr>
        <w:spacing w:after="60"/>
        <w:rPr>
          <w:rFonts w:cs="Arial"/>
          <w:szCs w:val="20"/>
          <w:lang w:val="es-CO"/>
        </w:rPr>
      </w:pPr>
      <w:r w:rsidRPr="006D1556">
        <w:rPr>
          <w:rFonts w:cs="Arial"/>
          <w:b/>
          <w:szCs w:val="20"/>
          <w:lang w:val="es-CO"/>
        </w:rPr>
        <w:t>Diagnóstico Diferenciado de Determinantes por Territorio</w:t>
      </w:r>
    </w:p>
    <w:p w:rsidRPr="006D1556" w:rsidR="002E3FA8" w:rsidRDefault="005F28D9" w14:paraId="7009B8BB" w14:textId="77777777">
      <w:pPr>
        <w:rPr>
          <w:rFonts w:cs="Arial"/>
          <w:szCs w:val="20"/>
          <w:lang w:val="es-CO"/>
        </w:rPr>
      </w:pPr>
      <w:r w:rsidRPr="006D1556">
        <w:rPr>
          <w:rFonts w:cs="Arial"/>
          <w:szCs w:val="20"/>
          <w:lang w:val="es-CO"/>
        </w:rPr>
        <w:t>El análisis situacional de las comunas 8 a 12 identificó factores de riesgo específicos que orientaron la priorización de intervenciones:</w:t>
      </w:r>
    </w:p>
    <w:p w:rsidRPr="006D1556" w:rsidR="002E3FA8" w:rsidRDefault="005F28D9" w14:paraId="4000CF27" w14:textId="77777777">
      <w:pPr>
        <w:spacing w:after="60"/>
        <w:ind w:left="432"/>
        <w:rPr>
          <w:rFonts w:cs="Arial"/>
          <w:szCs w:val="20"/>
          <w:lang w:val="es-CO"/>
        </w:rPr>
      </w:pPr>
      <w:r w:rsidRPr="006D1556">
        <w:rPr>
          <w:rFonts w:cs="Arial"/>
          <w:szCs w:val="20"/>
          <w:lang w:val="es-CO"/>
        </w:rPr>
        <w:t xml:space="preserve">•  </w:t>
      </w:r>
      <w:r w:rsidRPr="006D1556">
        <w:rPr>
          <w:rFonts w:cs="Arial"/>
          <w:b/>
          <w:szCs w:val="20"/>
          <w:lang w:val="es-CO"/>
        </w:rPr>
        <w:t xml:space="preserve">Comuna 8: </w:t>
      </w:r>
      <w:r w:rsidRPr="006D1556">
        <w:rPr>
          <w:rFonts w:cs="Arial"/>
          <w:szCs w:val="20"/>
          <w:lang w:val="es-CO"/>
        </w:rPr>
        <w:t>inadecuada gestión de residuos sólidos, presencia de vectores (roedores), deterioro del espacio público y seguridad ciudadana comprometida.</w:t>
      </w:r>
    </w:p>
    <w:p w:rsidRPr="006D1556" w:rsidR="002E3FA8" w:rsidRDefault="005F28D9" w14:paraId="7A17D053" w14:textId="77777777">
      <w:pPr>
        <w:spacing w:after="60"/>
        <w:ind w:left="432"/>
        <w:rPr>
          <w:rFonts w:cs="Arial"/>
          <w:szCs w:val="20"/>
          <w:lang w:val="es-CO"/>
        </w:rPr>
      </w:pPr>
      <w:r w:rsidRPr="006D1556">
        <w:rPr>
          <w:rFonts w:cs="Arial"/>
          <w:szCs w:val="20"/>
          <w:lang w:val="es-CO"/>
        </w:rPr>
        <w:t xml:space="preserve">•  </w:t>
      </w:r>
      <w:r w:rsidRPr="006D1556">
        <w:rPr>
          <w:rFonts w:cs="Arial"/>
          <w:b/>
          <w:szCs w:val="20"/>
          <w:lang w:val="es-CO"/>
        </w:rPr>
        <w:t xml:space="preserve">Comuna 9: </w:t>
      </w:r>
      <w:r w:rsidRPr="006D1556">
        <w:rPr>
          <w:rFonts w:cs="Arial"/>
          <w:szCs w:val="20"/>
          <w:lang w:val="es-CO"/>
        </w:rPr>
        <w:t>microtráfico y consumo de sustancias psicoactivas (SPA), gestión deficiente de residuos, incumplimiento de normas de tránsito y contaminación ambiental.</w:t>
      </w:r>
    </w:p>
    <w:p w:rsidRPr="006D1556" w:rsidR="002E3FA8" w:rsidRDefault="005F28D9" w14:paraId="7E9FF317" w14:textId="77777777">
      <w:pPr>
        <w:spacing w:after="60"/>
        <w:ind w:left="432"/>
        <w:rPr>
          <w:rFonts w:cs="Arial"/>
          <w:szCs w:val="20"/>
          <w:lang w:val="es-CO"/>
        </w:rPr>
      </w:pPr>
      <w:r w:rsidRPr="006D1556">
        <w:rPr>
          <w:rFonts w:cs="Arial"/>
          <w:szCs w:val="20"/>
          <w:lang w:val="es-CO"/>
        </w:rPr>
        <w:t xml:space="preserve">•  </w:t>
      </w:r>
      <w:r w:rsidRPr="006D1556">
        <w:rPr>
          <w:rFonts w:cs="Arial"/>
          <w:b/>
          <w:szCs w:val="20"/>
          <w:lang w:val="es-CO"/>
        </w:rPr>
        <w:t xml:space="preserve">Comuna 10: </w:t>
      </w:r>
      <w:r w:rsidRPr="006D1556">
        <w:rPr>
          <w:rFonts w:cs="Arial"/>
          <w:szCs w:val="20"/>
          <w:lang w:val="es-CO"/>
        </w:rPr>
        <w:t>contaminación ambiental, proliferación de trabajo informal, microtráfico, invasión del espacio público y déficit crítico de zonas verdes.</w:t>
      </w:r>
    </w:p>
    <w:p w:rsidRPr="006D1556" w:rsidR="002E3FA8" w:rsidRDefault="005F28D9" w14:paraId="593DABC5" w14:textId="77777777">
      <w:pPr>
        <w:spacing w:after="60"/>
        <w:ind w:left="432"/>
        <w:rPr>
          <w:rFonts w:cs="Arial"/>
          <w:szCs w:val="20"/>
          <w:lang w:val="es-CO"/>
        </w:rPr>
      </w:pPr>
      <w:r w:rsidRPr="006D1556">
        <w:rPr>
          <w:rFonts w:cs="Arial"/>
          <w:szCs w:val="20"/>
          <w:lang w:val="es-CO"/>
        </w:rPr>
        <w:t xml:space="preserve">•  </w:t>
      </w:r>
      <w:r w:rsidRPr="006D1556">
        <w:rPr>
          <w:rFonts w:cs="Arial"/>
          <w:b/>
          <w:szCs w:val="20"/>
          <w:lang w:val="es-CO"/>
        </w:rPr>
        <w:t xml:space="preserve">Comuna 11: </w:t>
      </w:r>
      <w:r w:rsidRPr="006D1556">
        <w:rPr>
          <w:rFonts w:cs="Arial"/>
          <w:szCs w:val="20"/>
          <w:lang w:val="es-CO"/>
        </w:rPr>
        <w:t>carga dual de morbilidad mental y consumo de SPA, prevalencia de enfermedades cardio-cerebro-vasculares, morbilidad materna extrema, violencia intrafamiliar, migración forzada, desempleo y fronteras invisibles de acceso a servicios.</w:t>
      </w:r>
    </w:p>
    <w:p w:rsidRPr="006D1556" w:rsidR="002E3FA8" w:rsidRDefault="005F28D9" w14:paraId="2DF38C7E" w14:textId="77777777">
      <w:pPr>
        <w:spacing w:after="60"/>
        <w:ind w:left="432"/>
        <w:rPr>
          <w:rFonts w:cs="Arial"/>
          <w:szCs w:val="20"/>
          <w:lang w:val="es-CO"/>
        </w:rPr>
      </w:pPr>
      <w:r w:rsidRPr="006D1556">
        <w:rPr>
          <w:rFonts w:cs="Arial"/>
          <w:szCs w:val="20"/>
          <w:lang w:val="es-CO"/>
        </w:rPr>
        <w:t xml:space="preserve">•  </w:t>
      </w:r>
      <w:r w:rsidRPr="006D1556">
        <w:rPr>
          <w:rFonts w:cs="Arial"/>
          <w:b/>
          <w:szCs w:val="20"/>
          <w:lang w:val="es-CO"/>
        </w:rPr>
        <w:t xml:space="preserve">Comuna 12: </w:t>
      </w:r>
      <w:r w:rsidRPr="006D1556">
        <w:rPr>
          <w:rFonts w:cs="Arial"/>
          <w:szCs w:val="20"/>
          <w:lang w:val="es-CO"/>
        </w:rPr>
        <w:t>narcotráfico, embarazo adolescente y deterioro paisajístico generador de estigma comunitario.</w:t>
      </w:r>
    </w:p>
    <w:p w:rsidRPr="006D1556" w:rsidR="002E3FA8" w:rsidRDefault="005F28D9" w14:paraId="73619523" w14:textId="77777777">
      <w:pPr>
        <w:rPr>
          <w:rFonts w:cs="Arial"/>
          <w:szCs w:val="20"/>
          <w:lang w:val="es-CO"/>
        </w:rPr>
      </w:pPr>
      <w:r w:rsidRPr="006D1556">
        <w:rPr>
          <w:rFonts w:cs="Arial"/>
          <w:szCs w:val="20"/>
          <w:lang w:val="es-CO"/>
        </w:rPr>
        <w:t>Este mapeo participativo de vulnerabilidades permitió la identificación de poblaciones en mayor riesgo y facilitó el co-diseño de intervenciones con enfoque de equidad.</w:t>
      </w:r>
    </w:p>
    <w:p w:rsidRPr="006D1556" w:rsidR="002E3FA8" w:rsidRDefault="005F28D9" w14:paraId="01A357FB" w14:textId="77777777">
      <w:pPr>
        <w:spacing w:after="60"/>
        <w:rPr>
          <w:rFonts w:cs="Arial"/>
          <w:szCs w:val="20"/>
          <w:lang w:val="es-CO"/>
        </w:rPr>
      </w:pPr>
      <w:r w:rsidRPr="006D1556">
        <w:rPr>
          <w:rFonts w:cs="Arial"/>
          <w:b/>
          <w:szCs w:val="20"/>
          <w:lang w:val="es-CO"/>
        </w:rPr>
        <w:t>Perfil de Morbilidad de la Población</w:t>
      </w:r>
    </w:p>
    <w:p w:rsidRPr="006D1556" w:rsidR="002E3FA8" w:rsidRDefault="005F28D9" w14:paraId="7272D9D3" w14:textId="77777777">
      <w:pPr>
        <w:rPr>
          <w:rFonts w:cs="Arial"/>
          <w:szCs w:val="20"/>
          <w:lang w:val="es-CO"/>
        </w:rPr>
      </w:pPr>
      <w:r w:rsidRPr="006D1556">
        <w:rPr>
          <w:rFonts w:cs="Arial"/>
          <w:szCs w:val="20"/>
          <w:lang w:val="es-CO"/>
        </w:rPr>
        <w:t>El análisis situacional de salud 2025 identificó como principales causas de morbilidad: enfermedades cardiovasculares, afecciones endocrino-metabólicas, patología osteomuscular, enfermedades del aparato digestivo, trastornos mentales y del comportamiento, enfermedades respiratorias, y lesiones y traumatismos por causas externas. Este perfil epidemiológico refleja tanto condiciones crónicas asociadas a determinantes socioambientales como patología aguda prevenible, orientando la concentración de recursos en prevención primaria y detección temprana.</w:t>
      </w:r>
    </w:p>
    <w:p w:rsidRPr="006D1556" w:rsidR="002E3FA8" w:rsidRDefault="005F28D9" w14:paraId="3B1B62D9" w14:textId="77777777">
      <w:pPr>
        <w:spacing w:after="60"/>
        <w:rPr>
          <w:rFonts w:cs="Arial"/>
          <w:szCs w:val="20"/>
          <w:lang w:val="es-CO"/>
        </w:rPr>
      </w:pPr>
      <w:r w:rsidRPr="006D1556">
        <w:rPr>
          <w:rFonts w:cs="Arial"/>
          <w:b/>
          <w:szCs w:val="20"/>
          <w:lang w:val="es-CO"/>
        </w:rPr>
        <w:t>Respuesta Institucional: Equipos y Programas Humanizados</w:t>
      </w:r>
    </w:p>
    <w:p w:rsidRPr="006D1556" w:rsidR="002E3FA8" w:rsidRDefault="005F28D9" w14:paraId="24ABF321" w14:textId="77777777">
      <w:pPr>
        <w:rPr>
          <w:rFonts w:cs="Arial"/>
          <w:szCs w:val="20"/>
          <w:lang w:val="es-CO"/>
        </w:rPr>
      </w:pPr>
      <w:r w:rsidRPr="006D1556">
        <w:rPr>
          <w:rFonts w:cs="Arial"/>
          <w:szCs w:val="20"/>
          <w:lang w:val="es-CO"/>
        </w:rPr>
        <w:t>Para responder integralmente a este panorama, la institución fortaleció su modelo de Atención Primaria en Salud (APS) mediante:</w:t>
      </w:r>
    </w:p>
    <w:p w:rsidRPr="006D1556" w:rsidR="002E3FA8" w:rsidRDefault="005F28D9" w14:paraId="739AF9B9" w14:textId="77777777">
      <w:pPr>
        <w:spacing w:after="60"/>
        <w:ind w:left="432"/>
        <w:rPr>
          <w:rFonts w:cs="Arial"/>
          <w:szCs w:val="20"/>
          <w:lang w:val="es-CO"/>
        </w:rPr>
      </w:pPr>
      <w:r w:rsidRPr="006D1556">
        <w:rPr>
          <w:rFonts w:cs="Arial"/>
          <w:szCs w:val="20"/>
          <w:lang w:val="es-CO"/>
        </w:rPr>
        <w:t xml:space="preserve">•  </w:t>
      </w:r>
      <w:r w:rsidRPr="006D1556">
        <w:rPr>
          <w:rFonts w:cs="Arial"/>
          <w:b/>
          <w:szCs w:val="20"/>
          <w:lang w:val="es-CO"/>
        </w:rPr>
        <w:t xml:space="preserve">Equipos Básicos en Salud (EBS): </w:t>
      </w:r>
      <w:r w:rsidRPr="006D1556">
        <w:rPr>
          <w:rFonts w:cs="Arial"/>
          <w:szCs w:val="20"/>
          <w:lang w:val="es-CO"/>
        </w:rPr>
        <w:t>conformación de 95 equipos interdisciplinarios compuestos por auxiliares de enfermería, médicos, enfermeras, psicólogos, otros profesionales y promotores de salud, garantizando una respuesta integrada que atienda dimensiones clínicas, psicosociales y comunitarias de la salud.</w:t>
      </w:r>
    </w:p>
    <w:p w:rsidRPr="006D1556" w:rsidR="002E3FA8" w:rsidRDefault="005F28D9" w14:paraId="1B6B2C04" w14:textId="77777777">
      <w:pPr>
        <w:spacing w:after="60"/>
        <w:ind w:left="432"/>
        <w:rPr>
          <w:rFonts w:cs="Arial"/>
          <w:szCs w:val="20"/>
          <w:lang w:val="es-CO"/>
        </w:rPr>
      </w:pPr>
      <w:r w:rsidRPr="006D1556">
        <w:rPr>
          <w:rFonts w:cs="Arial"/>
          <w:szCs w:val="20"/>
          <w:lang w:val="es-CO"/>
        </w:rPr>
        <w:t xml:space="preserve">•  </w:t>
      </w:r>
      <w:r w:rsidRPr="006D1556">
        <w:rPr>
          <w:rFonts w:cs="Arial"/>
          <w:b/>
          <w:szCs w:val="20"/>
          <w:lang w:val="es-CO"/>
        </w:rPr>
        <w:t xml:space="preserve">Unidades Móviles Especializadas “Por Ti Mujer”: </w:t>
      </w:r>
      <w:r w:rsidRPr="006D1556">
        <w:rPr>
          <w:rFonts w:cs="Arial"/>
          <w:szCs w:val="20"/>
          <w:lang w:val="es-CO"/>
        </w:rPr>
        <w:t>despliegue de unidades de atención integral para la salud femenina que acercan servicios de prevención, diagnóstico y tratamiento en contextos de alta vulnerabilidad geográfica.</w:t>
      </w:r>
    </w:p>
    <w:p w:rsidRPr="006D1556" w:rsidR="002E3FA8" w:rsidRDefault="005F28D9" w14:paraId="79844807" w14:textId="77777777">
      <w:pPr>
        <w:spacing w:after="60"/>
        <w:ind w:left="432"/>
        <w:rPr>
          <w:rFonts w:cs="Arial"/>
          <w:szCs w:val="20"/>
          <w:lang w:val="es-CO"/>
        </w:rPr>
      </w:pPr>
      <w:r w:rsidRPr="006D1556">
        <w:rPr>
          <w:rFonts w:cs="Arial"/>
          <w:szCs w:val="20"/>
          <w:lang w:val="es-CO"/>
        </w:rPr>
        <w:t xml:space="preserve">•  </w:t>
      </w:r>
      <w:r w:rsidRPr="006D1556">
        <w:rPr>
          <w:rFonts w:cs="Arial"/>
          <w:b/>
          <w:szCs w:val="20"/>
          <w:lang w:val="es-CO"/>
        </w:rPr>
        <w:t xml:space="preserve">Programa Paciente, Familiar y Cuidador Experto: </w:t>
      </w:r>
      <w:r w:rsidRPr="006D1556">
        <w:rPr>
          <w:rFonts w:cs="Arial"/>
          <w:szCs w:val="20"/>
          <w:lang w:val="es-CO"/>
        </w:rPr>
        <w:t>implementación de atención domiciliaria con enfoque centrado en la persona y su red de cuidado, mediante equipos interdisciplinarios que reconocen al cuidador como parte integral del plan de atención.</w:t>
      </w:r>
    </w:p>
    <w:p w:rsidR="007E13E5" w:rsidRDefault="007E13E5" w14:paraId="7E852B1A" w14:textId="77777777">
      <w:pPr>
        <w:spacing w:after="60"/>
        <w:rPr>
          <w:rFonts w:cs="Arial"/>
          <w:b/>
          <w:szCs w:val="20"/>
          <w:lang w:val="es-CO"/>
        </w:rPr>
      </w:pPr>
    </w:p>
    <w:p w:rsidRPr="006D1556" w:rsidR="002E3FA8" w:rsidRDefault="005F28D9" w14:paraId="62CC25AF" w14:textId="6E7E4E0D">
      <w:pPr>
        <w:spacing w:after="60"/>
        <w:rPr>
          <w:rFonts w:cs="Arial"/>
          <w:szCs w:val="20"/>
          <w:lang w:val="es-CO"/>
        </w:rPr>
      </w:pPr>
      <w:r w:rsidRPr="006D1556">
        <w:rPr>
          <w:rFonts w:cs="Arial"/>
          <w:b/>
          <w:szCs w:val="20"/>
          <w:lang w:val="es-CO"/>
        </w:rPr>
        <w:t>Resultados en Salud: Indicadores de Efectividad Poblacional</w:t>
      </w:r>
    </w:p>
    <w:p w:rsidRPr="006D1556" w:rsidR="002E3FA8" w:rsidRDefault="005F28D9" w14:paraId="4CCE8F34" w14:textId="77777777">
      <w:pPr>
        <w:rPr>
          <w:rFonts w:cs="Arial"/>
          <w:szCs w:val="20"/>
          <w:lang w:val="es-CO"/>
        </w:rPr>
      </w:pPr>
      <w:r w:rsidRPr="006D1556">
        <w:rPr>
          <w:rFonts w:cs="Arial"/>
          <w:szCs w:val="20"/>
          <w:lang w:val="es-CO"/>
        </w:rPr>
        <w:t>La articulación entre diagnóstico territorial, respuesta programática y seguimiento epidemiológico produjo avances mensurables en indicadores de salud pública:</w:t>
      </w:r>
    </w:p>
    <w:p w:rsidR="004C22D0" w:rsidP="10C93EC1" w:rsidRDefault="004C22D0" w14:paraId="6750AF9F" w14:textId="42F1ACEF">
      <w:pPr>
        <w:rPr>
          <w:b/>
          <w:bCs/>
          <w:kern w:val="2"/>
          <w:lang w:val="es-CO" w:eastAsia="es-CO"/>
          <w14:ligatures w14:val="standardContextual"/>
        </w:rPr>
      </w:pPr>
      <w:r w:rsidRPr="10C93EC1">
        <w:rPr>
          <w:b/>
          <w:bCs/>
          <w:lang w:val="es-CO"/>
        </w:rPr>
        <w:t xml:space="preserve">Tabla </w:t>
      </w:r>
      <w:r w:rsidRPr="10C93EC1" w:rsidR="00B702D6">
        <w:rPr>
          <w:b/>
          <w:bCs/>
          <w:lang w:val="es-CO"/>
        </w:rPr>
        <w:t>5</w:t>
      </w:r>
      <w:r w:rsidRPr="10C93EC1">
        <w:rPr>
          <w:b/>
          <w:bCs/>
          <w:lang w:val="es-CO"/>
        </w:rPr>
        <w:t>. Indicadores de efectividad poblacional y metas de seguimiento en salud pública</w:t>
      </w:r>
    </w:p>
    <w:tbl>
      <w:tblPr>
        <w:tblStyle w:val="TableGrid"/>
        <w:tblW w:w="0" w:type="auto"/>
        <w:jc w:val="center"/>
        <w:tblLook w:val="04A0" w:firstRow="1" w:lastRow="0" w:firstColumn="1" w:lastColumn="0" w:noHBand="0" w:noVBand="1"/>
      </w:tblPr>
      <w:tblGrid>
        <w:gridCol w:w="2736"/>
        <w:gridCol w:w="4752"/>
        <w:gridCol w:w="2160"/>
      </w:tblGrid>
      <w:tr w:rsidRPr="006D1556" w:rsidR="002E3FA8" w:rsidTr="10C93EC1" w14:paraId="58EE345F" w14:textId="77777777">
        <w:trPr>
          <w:jc w:val="center"/>
        </w:trPr>
        <w:tc>
          <w:tcPr>
            <w:tcW w:w="2736" w:type="dxa"/>
            <w:shd w:val="clear" w:color="auto" w:fill="1F3864"/>
          </w:tcPr>
          <w:p w:rsidRPr="006D1556" w:rsidR="002E3FA8" w:rsidP="10C93EC1" w:rsidRDefault="005F28D9" w14:paraId="2B58958F" w14:textId="77777777">
            <w:pPr>
              <w:jc w:val="center"/>
              <w:rPr>
                <w:rFonts w:cs="Arial"/>
                <w:b/>
                <w:bCs/>
              </w:rPr>
            </w:pPr>
            <w:r w:rsidRPr="10C93EC1">
              <w:rPr>
                <w:rFonts w:cs="Arial"/>
                <w:b/>
                <w:bCs/>
                <w:color w:val="FFFFFF" w:themeColor="background1"/>
              </w:rPr>
              <w:t>Área de Resultado</w:t>
            </w:r>
          </w:p>
        </w:tc>
        <w:tc>
          <w:tcPr>
            <w:tcW w:w="4752" w:type="dxa"/>
            <w:shd w:val="clear" w:color="auto" w:fill="1F3864"/>
          </w:tcPr>
          <w:p w:rsidRPr="006D1556" w:rsidR="002E3FA8" w:rsidP="10C93EC1" w:rsidRDefault="005F28D9" w14:paraId="006E565C" w14:textId="77777777">
            <w:pPr>
              <w:jc w:val="center"/>
              <w:rPr>
                <w:rFonts w:cs="Arial"/>
                <w:b/>
                <w:bCs/>
              </w:rPr>
            </w:pPr>
            <w:r w:rsidRPr="10C93EC1">
              <w:rPr>
                <w:rFonts w:cs="Arial"/>
                <w:b/>
                <w:bCs/>
                <w:color w:val="FFFFFF" w:themeColor="background1"/>
              </w:rPr>
              <w:t>Indicador</w:t>
            </w:r>
          </w:p>
        </w:tc>
        <w:tc>
          <w:tcPr>
            <w:tcW w:w="2160" w:type="dxa"/>
            <w:shd w:val="clear" w:color="auto" w:fill="1F3864"/>
          </w:tcPr>
          <w:p w:rsidRPr="006D1556" w:rsidR="002E3FA8" w:rsidP="10C93EC1" w:rsidRDefault="005F28D9" w14:paraId="23F3BEDF" w14:textId="77777777">
            <w:pPr>
              <w:jc w:val="center"/>
              <w:rPr>
                <w:rFonts w:cs="Arial"/>
                <w:b/>
                <w:bCs/>
              </w:rPr>
            </w:pPr>
            <w:r w:rsidRPr="10C93EC1">
              <w:rPr>
                <w:rFonts w:cs="Arial"/>
                <w:b/>
                <w:bCs/>
                <w:color w:val="FFFFFF" w:themeColor="background1"/>
              </w:rPr>
              <w:t>Meta / Objetivo</w:t>
            </w:r>
          </w:p>
        </w:tc>
      </w:tr>
      <w:tr w:rsidRPr="006D1556" w:rsidR="002E3FA8" w:rsidTr="10C93EC1" w14:paraId="11DFA03C" w14:textId="77777777">
        <w:trPr>
          <w:jc w:val="center"/>
        </w:trPr>
        <w:tc>
          <w:tcPr>
            <w:tcW w:w="2736" w:type="dxa"/>
          </w:tcPr>
          <w:p w:rsidRPr="006D1556" w:rsidR="002E3FA8" w:rsidRDefault="005F28D9" w14:paraId="455C112B" w14:textId="77777777">
            <w:pPr>
              <w:jc w:val="left"/>
              <w:rPr>
                <w:rFonts w:cs="Arial"/>
                <w:szCs w:val="20"/>
              </w:rPr>
            </w:pPr>
            <w:r w:rsidRPr="006D1556">
              <w:rPr>
                <w:rFonts w:cs="Arial"/>
                <w:szCs w:val="20"/>
              </w:rPr>
              <w:t>Salud Materno-Infantil</w:t>
            </w:r>
          </w:p>
        </w:tc>
        <w:tc>
          <w:tcPr>
            <w:tcW w:w="4752" w:type="dxa"/>
            <w:vAlign w:val="center"/>
          </w:tcPr>
          <w:p w:rsidRPr="006D1556" w:rsidR="002E3FA8" w:rsidP="007E13E5" w:rsidRDefault="005F28D9" w14:paraId="780B68F2" w14:textId="77777777">
            <w:pPr>
              <w:rPr>
                <w:rFonts w:cs="Arial"/>
                <w:szCs w:val="20"/>
                <w:lang w:val="es-CO"/>
              </w:rPr>
            </w:pPr>
            <w:r w:rsidRPr="006D1556">
              <w:rPr>
                <w:rFonts w:cs="Arial"/>
                <w:szCs w:val="20"/>
                <w:lang w:val="es-CO"/>
              </w:rPr>
              <w:t>Reducción de mortalidad materna temprana y perinatal; control de transmisión materno-infantil del VIH</w:t>
            </w:r>
          </w:p>
        </w:tc>
        <w:tc>
          <w:tcPr>
            <w:tcW w:w="2160" w:type="dxa"/>
            <w:vAlign w:val="center"/>
          </w:tcPr>
          <w:p w:rsidRPr="006D1556" w:rsidR="002E3FA8" w:rsidP="007E13E5" w:rsidRDefault="005F28D9" w14:paraId="68C6134F" w14:textId="77777777">
            <w:pPr>
              <w:rPr>
                <w:rFonts w:cs="Arial"/>
                <w:szCs w:val="20"/>
              </w:rPr>
            </w:pPr>
            <w:r w:rsidRPr="006D1556">
              <w:rPr>
                <w:rFonts w:cs="Arial"/>
                <w:szCs w:val="20"/>
              </w:rPr>
              <w:t xml:space="preserve">En </w:t>
            </w:r>
            <w:proofErr w:type="spellStart"/>
            <w:r w:rsidRPr="006D1556">
              <w:rPr>
                <w:rFonts w:cs="Arial"/>
                <w:szCs w:val="20"/>
              </w:rPr>
              <w:t>seguimiento</w:t>
            </w:r>
            <w:proofErr w:type="spellEnd"/>
          </w:p>
        </w:tc>
      </w:tr>
      <w:tr w:rsidRPr="006D1556" w:rsidR="002E3FA8" w:rsidTr="10C93EC1" w14:paraId="54F9232A" w14:textId="77777777">
        <w:trPr>
          <w:jc w:val="center"/>
        </w:trPr>
        <w:tc>
          <w:tcPr>
            <w:tcW w:w="2736" w:type="dxa"/>
          </w:tcPr>
          <w:p w:rsidRPr="006D1556" w:rsidR="002E3FA8" w:rsidRDefault="005F28D9" w14:paraId="4B12CBCD" w14:textId="77777777">
            <w:pPr>
              <w:jc w:val="left"/>
              <w:rPr>
                <w:rFonts w:cs="Arial"/>
                <w:szCs w:val="20"/>
              </w:rPr>
            </w:pPr>
            <w:r w:rsidRPr="006D1556">
              <w:rPr>
                <w:rFonts w:cs="Arial"/>
                <w:szCs w:val="20"/>
              </w:rPr>
              <w:t>Protección Inmunológica</w:t>
            </w:r>
          </w:p>
        </w:tc>
        <w:tc>
          <w:tcPr>
            <w:tcW w:w="4752" w:type="dxa"/>
            <w:vAlign w:val="center"/>
          </w:tcPr>
          <w:p w:rsidRPr="006D1556" w:rsidR="002E3FA8" w:rsidP="007E13E5" w:rsidRDefault="005F28D9" w14:paraId="2B21658B" w14:textId="77777777">
            <w:pPr>
              <w:rPr>
                <w:rFonts w:cs="Arial"/>
                <w:szCs w:val="20"/>
                <w:lang w:val="es-CO"/>
              </w:rPr>
            </w:pPr>
            <w:r w:rsidRPr="006D1556">
              <w:rPr>
                <w:rFonts w:cs="Arial"/>
                <w:szCs w:val="20"/>
                <w:lang w:val="es-CO"/>
              </w:rPr>
              <w:t>Cobertura y oportunidad de vacunación</w:t>
            </w:r>
          </w:p>
        </w:tc>
        <w:tc>
          <w:tcPr>
            <w:tcW w:w="2160" w:type="dxa"/>
            <w:vAlign w:val="center"/>
          </w:tcPr>
          <w:p w:rsidRPr="006D1556" w:rsidR="002E3FA8" w:rsidP="007E13E5" w:rsidRDefault="005F28D9" w14:paraId="3B4158D1" w14:textId="77777777">
            <w:pPr>
              <w:rPr>
                <w:rFonts w:cs="Arial"/>
                <w:szCs w:val="20"/>
              </w:rPr>
            </w:pPr>
            <w:r w:rsidRPr="006D1556">
              <w:rPr>
                <w:rFonts w:cs="Arial"/>
                <w:szCs w:val="20"/>
              </w:rPr>
              <w:t xml:space="preserve">En </w:t>
            </w:r>
            <w:proofErr w:type="spellStart"/>
            <w:r w:rsidRPr="006D1556">
              <w:rPr>
                <w:rFonts w:cs="Arial"/>
                <w:szCs w:val="20"/>
              </w:rPr>
              <w:t>seguimiento</w:t>
            </w:r>
            <w:proofErr w:type="spellEnd"/>
          </w:p>
        </w:tc>
      </w:tr>
      <w:tr w:rsidRPr="006D1556" w:rsidR="002E3FA8" w:rsidTr="10C93EC1" w14:paraId="429A82A2" w14:textId="77777777">
        <w:trPr>
          <w:jc w:val="center"/>
        </w:trPr>
        <w:tc>
          <w:tcPr>
            <w:tcW w:w="2736" w:type="dxa"/>
          </w:tcPr>
          <w:p w:rsidRPr="006D1556" w:rsidR="002E3FA8" w:rsidRDefault="005F28D9" w14:paraId="74C6E8E8" w14:textId="77777777">
            <w:pPr>
              <w:jc w:val="left"/>
              <w:rPr>
                <w:rFonts w:cs="Arial"/>
                <w:szCs w:val="20"/>
              </w:rPr>
            </w:pPr>
            <w:r w:rsidRPr="006D1556">
              <w:rPr>
                <w:rFonts w:cs="Arial"/>
                <w:szCs w:val="20"/>
              </w:rPr>
              <w:t>Nutrición</w:t>
            </w:r>
          </w:p>
        </w:tc>
        <w:tc>
          <w:tcPr>
            <w:tcW w:w="4752" w:type="dxa"/>
            <w:vAlign w:val="center"/>
          </w:tcPr>
          <w:p w:rsidRPr="006D1556" w:rsidR="002E3FA8" w:rsidP="007E13E5" w:rsidRDefault="005F28D9" w14:paraId="0DE206A4" w14:textId="77777777">
            <w:pPr>
              <w:rPr>
                <w:rFonts w:cs="Arial"/>
                <w:szCs w:val="20"/>
                <w:lang w:val="es-CO"/>
              </w:rPr>
            </w:pPr>
            <w:r w:rsidRPr="006D1556">
              <w:rPr>
                <w:rFonts w:cs="Arial"/>
                <w:szCs w:val="20"/>
                <w:lang w:val="es-CO"/>
              </w:rPr>
              <w:t>Reducción de bajo peso al nacer</w:t>
            </w:r>
          </w:p>
        </w:tc>
        <w:tc>
          <w:tcPr>
            <w:tcW w:w="2160" w:type="dxa"/>
            <w:vAlign w:val="center"/>
          </w:tcPr>
          <w:p w:rsidRPr="006D1556" w:rsidR="002E3FA8" w:rsidP="007E13E5" w:rsidRDefault="005F28D9" w14:paraId="33258CE2" w14:textId="77777777">
            <w:pPr>
              <w:rPr>
                <w:rFonts w:cs="Arial"/>
                <w:szCs w:val="20"/>
              </w:rPr>
            </w:pPr>
            <w:r w:rsidRPr="006D1556">
              <w:rPr>
                <w:rFonts w:cs="Arial"/>
                <w:szCs w:val="20"/>
              </w:rPr>
              <w:t xml:space="preserve">En </w:t>
            </w:r>
            <w:proofErr w:type="spellStart"/>
            <w:r w:rsidRPr="006D1556">
              <w:rPr>
                <w:rFonts w:cs="Arial"/>
                <w:szCs w:val="20"/>
              </w:rPr>
              <w:t>seguimiento</w:t>
            </w:r>
            <w:proofErr w:type="spellEnd"/>
          </w:p>
        </w:tc>
      </w:tr>
      <w:tr w:rsidRPr="006D1556" w:rsidR="002E3FA8" w:rsidTr="10C93EC1" w14:paraId="458AB737" w14:textId="77777777">
        <w:trPr>
          <w:jc w:val="center"/>
        </w:trPr>
        <w:tc>
          <w:tcPr>
            <w:tcW w:w="2736" w:type="dxa"/>
          </w:tcPr>
          <w:p w:rsidRPr="006D1556" w:rsidR="002E3FA8" w:rsidRDefault="005F28D9" w14:paraId="3C925419" w14:textId="77777777">
            <w:pPr>
              <w:jc w:val="left"/>
              <w:rPr>
                <w:rFonts w:cs="Arial"/>
                <w:szCs w:val="20"/>
              </w:rPr>
            </w:pPr>
            <w:r w:rsidRPr="006D1556">
              <w:rPr>
                <w:rFonts w:cs="Arial"/>
                <w:szCs w:val="20"/>
              </w:rPr>
              <w:t>Salud Sexual y Reproductiva</w:t>
            </w:r>
          </w:p>
        </w:tc>
        <w:tc>
          <w:tcPr>
            <w:tcW w:w="4752" w:type="dxa"/>
            <w:vAlign w:val="center"/>
          </w:tcPr>
          <w:p w:rsidRPr="006D1556" w:rsidR="002E3FA8" w:rsidP="007E13E5" w:rsidRDefault="005F28D9" w14:paraId="54B1155A" w14:textId="77777777">
            <w:pPr>
              <w:rPr>
                <w:rFonts w:cs="Arial"/>
                <w:szCs w:val="20"/>
                <w:lang w:val="es-CO"/>
              </w:rPr>
            </w:pPr>
            <w:r w:rsidRPr="006D1556">
              <w:rPr>
                <w:rFonts w:cs="Arial"/>
                <w:szCs w:val="20"/>
                <w:lang w:val="es-CO"/>
              </w:rPr>
              <w:t>Confirmación de cáncer de cuello uterino; tasa de fecundidad específica</w:t>
            </w:r>
          </w:p>
        </w:tc>
        <w:tc>
          <w:tcPr>
            <w:tcW w:w="2160" w:type="dxa"/>
            <w:vAlign w:val="center"/>
          </w:tcPr>
          <w:p w:rsidRPr="006D1556" w:rsidR="002E3FA8" w:rsidP="007E13E5" w:rsidRDefault="005F28D9" w14:paraId="288D0878" w14:textId="77777777">
            <w:pPr>
              <w:rPr>
                <w:rFonts w:cs="Arial"/>
                <w:szCs w:val="20"/>
              </w:rPr>
            </w:pPr>
            <w:r w:rsidRPr="006D1556">
              <w:rPr>
                <w:rFonts w:cs="Arial"/>
                <w:szCs w:val="20"/>
              </w:rPr>
              <w:t xml:space="preserve">En </w:t>
            </w:r>
            <w:proofErr w:type="spellStart"/>
            <w:r w:rsidRPr="006D1556">
              <w:rPr>
                <w:rFonts w:cs="Arial"/>
                <w:szCs w:val="20"/>
              </w:rPr>
              <w:t>seguimiento</w:t>
            </w:r>
            <w:proofErr w:type="spellEnd"/>
          </w:p>
        </w:tc>
      </w:tr>
      <w:tr w:rsidRPr="006D1556" w:rsidR="002E3FA8" w:rsidTr="10C93EC1" w14:paraId="60108B6F" w14:textId="77777777">
        <w:trPr>
          <w:jc w:val="center"/>
        </w:trPr>
        <w:tc>
          <w:tcPr>
            <w:tcW w:w="2736" w:type="dxa"/>
          </w:tcPr>
          <w:p w:rsidRPr="006D1556" w:rsidR="002E3FA8" w:rsidRDefault="005F28D9" w14:paraId="75A387BA" w14:textId="77777777">
            <w:pPr>
              <w:jc w:val="left"/>
              <w:rPr>
                <w:rFonts w:cs="Arial"/>
                <w:szCs w:val="20"/>
              </w:rPr>
            </w:pPr>
            <w:r w:rsidRPr="006D1556">
              <w:rPr>
                <w:rFonts w:cs="Arial"/>
                <w:szCs w:val="20"/>
              </w:rPr>
              <w:t>Salud Mental y Violencia</w:t>
            </w:r>
          </w:p>
        </w:tc>
        <w:tc>
          <w:tcPr>
            <w:tcW w:w="4752" w:type="dxa"/>
            <w:vAlign w:val="center"/>
          </w:tcPr>
          <w:p w:rsidRPr="006D1556" w:rsidR="002E3FA8" w:rsidP="007E13E5" w:rsidRDefault="005F28D9" w14:paraId="1D9AE71B" w14:textId="77777777">
            <w:pPr>
              <w:rPr>
                <w:rFonts w:cs="Arial"/>
                <w:szCs w:val="20"/>
                <w:lang w:val="es-CO"/>
              </w:rPr>
            </w:pPr>
            <w:r w:rsidRPr="006D1556">
              <w:rPr>
                <w:rFonts w:cs="Arial"/>
                <w:szCs w:val="20"/>
                <w:lang w:val="es-CO"/>
              </w:rPr>
              <w:t>Reducción de mortalidad por suicidio</w:t>
            </w:r>
          </w:p>
        </w:tc>
        <w:tc>
          <w:tcPr>
            <w:tcW w:w="2160" w:type="dxa"/>
            <w:vAlign w:val="center"/>
          </w:tcPr>
          <w:p w:rsidRPr="006D1556" w:rsidR="002E3FA8" w:rsidP="007E13E5" w:rsidRDefault="005F28D9" w14:paraId="5AA0A616" w14:textId="77777777">
            <w:pPr>
              <w:rPr>
                <w:rFonts w:cs="Arial"/>
                <w:szCs w:val="20"/>
              </w:rPr>
            </w:pPr>
            <w:r w:rsidRPr="006D1556">
              <w:rPr>
                <w:rFonts w:cs="Arial"/>
                <w:szCs w:val="20"/>
              </w:rPr>
              <w:t xml:space="preserve">&lt; 5 </w:t>
            </w:r>
            <w:proofErr w:type="spellStart"/>
            <w:r w:rsidRPr="006D1556">
              <w:rPr>
                <w:rFonts w:cs="Arial"/>
                <w:szCs w:val="20"/>
              </w:rPr>
              <w:t>por</w:t>
            </w:r>
            <w:proofErr w:type="spellEnd"/>
            <w:r w:rsidRPr="006D1556">
              <w:rPr>
                <w:rFonts w:cs="Arial"/>
                <w:szCs w:val="20"/>
              </w:rPr>
              <w:t xml:space="preserve"> 100.000 </w:t>
            </w:r>
            <w:proofErr w:type="spellStart"/>
            <w:r w:rsidRPr="006D1556">
              <w:rPr>
                <w:rFonts w:cs="Arial"/>
                <w:szCs w:val="20"/>
              </w:rPr>
              <w:t>habitantes</w:t>
            </w:r>
            <w:proofErr w:type="spellEnd"/>
          </w:p>
        </w:tc>
      </w:tr>
      <w:tr w:rsidRPr="006D1556" w:rsidR="002E3FA8" w:rsidTr="10C93EC1" w14:paraId="316693D4" w14:textId="77777777">
        <w:trPr>
          <w:jc w:val="center"/>
        </w:trPr>
        <w:tc>
          <w:tcPr>
            <w:tcW w:w="2736" w:type="dxa"/>
          </w:tcPr>
          <w:p w:rsidRPr="006D1556" w:rsidR="002E3FA8" w:rsidRDefault="002E3FA8" w14:paraId="75C1FB4F" w14:textId="77777777">
            <w:pPr>
              <w:jc w:val="left"/>
              <w:rPr>
                <w:rFonts w:cs="Arial"/>
                <w:szCs w:val="20"/>
              </w:rPr>
            </w:pPr>
          </w:p>
        </w:tc>
        <w:tc>
          <w:tcPr>
            <w:tcW w:w="4752" w:type="dxa"/>
            <w:vAlign w:val="center"/>
          </w:tcPr>
          <w:p w:rsidRPr="006D1556" w:rsidR="002E3FA8" w:rsidP="007E13E5" w:rsidRDefault="005F28D9" w14:paraId="2DD30BAC" w14:textId="77777777">
            <w:pPr>
              <w:rPr>
                <w:rFonts w:cs="Arial"/>
                <w:szCs w:val="20"/>
                <w:lang w:val="es-CO"/>
              </w:rPr>
            </w:pPr>
            <w:r w:rsidRPr="006D1556">
              <w:rPr>
                <w:rFonts w:cs="Arial"/>
                <w:szCs w:val="20"/>
                <w:lang w:val="es-CO"/>
              </w:rPr>
              <w:t>Reducción de violencias basadas en género</w:t>
            </w:r>
          </w:p>
        </w:tc>
        <w:tc>
          <w:tcPr>
            <w:tcW w:w="2160" w:type="dxa"/>
            <w:vAlign w:val="center"/>
          </w:tcPr>
          <w:p w:rsidRPr="006D1556" w:rsidR="002E3FA8" w:rsidP="007E13E5" w:rsidRDefault="005F28D9" w14:paraId="147396A2" w14:textId="77777777">
            <w:pPr>
              <w:rPr>
                <w:rFonts w:cs="Arial"/>
                <w:szCs w:val="20"/>
              </w:rPr>
            </w:pPr>
            <w:r w:rsidRPr="006D1556">
              <w:rPr>
                <w:rFonts w:cs="Arial"/>
                <w:szCs w:val="20"/>
              </w:rPr>
              <w:t xml:space="preserve">≤ 230 </w:t>
            </w:r>
            <w:proofErr w:type="spellStart"/>
            <w:r w:rsidRPr="006D1556">
              <w:rPr>
                <w:rFonts w:cs="Arial"/>
                <w:szCs w:val="20"/>
              </w:rPr>
              <w:t>por</w:t>
            </w:r>
            <w:proofErr w:type="spellEnd"/>
            <w:r w:rsidRPr="006D1556">
              <w:rPr>
                <w:rFonts w:cs="Arial"/>
                <w:szCs w:val="20"/>
              </w:rPr>
              <w:t xml:space="preserve"> 100.000 </w:t>
            </w:r>
            <w:proofErr w:type="spellStart"/>
            <w:r w:rsidRPr="006D1556">
              <w:rPr>
                <w:rFonts w:cs="Arial"/>
                <w:szCs w:val="20"/>
              </w:rPr>
              <w:t>habitantes</w:t>
            </w:r>
            <w:proofErr w:type="spellEnd"/>
          </w:p>
        </w:tc>
      </w:tr>
      <w:tr w:rsidRPr="006D1556" w:rsidR="002E3FA8" w:rsidTr="10C93EC1" w14:paraId="447B17B3" w14:textId="77777777">
        <w:trPr>
          <w:jc w:val="center"/>
        </w:trPr>
        <w:tc>
          <w:tcPr>
            <w:tcW w:w="2736" w:type="dxa"/>
          </w:tcPr>
          <w:p w:rsidRPr="006D1556" w:rsidR="002E3FA8" w:rsidRDefault="005F28D9" w14:paraId="4741F0BA" w14:textId="77777777">
            <w:pPr>
              <w:jc w:val="left"/>
              <w:rPr>
                <w:rFonts w:cs="Arial"/>
                <w:szCs w:val="20"/>
              </w:rPr>
            </w:pPr>
            <w:r w:rsidRPr="006D1556">
              <w:rPr>
                <w:rFonts w:cs="Arial"/>
                <w:szCs w:val="20"/>
              </w:rPr>
              <w:t>Enfermedades Crónicas</w:t>
            </w:r>
          </w:p>
        </w:tc>
        <w:tc>
          <w:tcPr>
            <w:tcW w:w="4752" w:type="dxa"/>
            <w:vAlign w:val="center"/>
          </w:tcPr>
          <w:p w:rsidRPr="006D1556" w:rsidR="002E3FA8" w:rsidP="007E13E5" w:rsidRDefault="005F28D9" w14:paraId="47BCD8B3" w14:textId="77777777">
            <w:pPr>
              <w:rPr>
                <w:rFonts w:cs="Arial"/>
                <w:szCs w:val="20"/>
                <w:lang w:val="es-CO"/>
              </w:rPr>
            </w:pPr>
            <w:r w:rsidRPr="006D1556">
              <w:rPr>
                <w:rFonts w:cs="Arial"/>
                <w:szCs w:val="20"/>
                <w:lang w:val="es-CO"/>
              </w:rPr>
              <w:t>Control de diabetes mellitus tipo 2</w:t>
            </w:r>
          </w:p>
        </w:tc>
        <w:tc>
          <w:tcPr>
            <w:tcW w:w="2160" w:type="dxa"/>
            <w:vAlign w:val="center"/>
          </w:tcPr>
          <w:p w:rsidRPr="006D1556" w:rsidR="002E3FA8" w:rsidP="007E13E5" w:rsidRDefault="005F28D9" w14:paraId="32D22FA8" w14:textId="77777777">
            <w:pPr>
              <w:rPr>
                <w:rFonts w:cs="Arial"/>
                <w:szCs w:val="20"/>
              </w:rPr>
            </w:pPr>
            <w:r w:rsidRPr="006D1556">
              <w:rPr>
                <w:rFonts w:cs="Arial"/>
                <w:szCs w:val="20"/>
              </w:rPr>
              <w:t xml:space="preserve">≥ 80% de </w:t>
            </w:r>
            <w:proofErr w:type="spellStart"/>
            <w:r w:rsidRPr="006D1556">
              <w:rPr>
                <w:rFonts w:cs="Arial"/>
                <w:szCs w:val="20"/>
              </w:rPr>
              <w:t>controlados</w:t>
            </w:r>
            <w:proofErr w:type="spellEnd"/>
          </w:p>
        </w:tc>
      </w:tr>
      <w:tr w:rsidRPr="006D1556" w:rsidR="002E3FA8" w:rsidTr="10C93EC1" w14:paraId="6364C10E" w14:textId="77777777">
        <w:trPr>
          <w:jc w:val="center"/>
        </w:trPr>
        <w:tc>
          <w:tcPr>
            <w:tcW w:w="2736" w:type="dxa"/>
          </w:tcPr>
          <w:p w:rsidRPr="006D1556" w:rsidR="002E3FA8" w:rsidRDefault="002E3FA8" w14:paraId="4148F56F" w14:textId="77777777">
            <w:pPr>
              <w:jc w:val="left"/>
              <w:rPr>
                <w:rFonts w:cs="Arial"/>
                <w:szCs w:val="20"/>
              </w:rPr>
            </w:pPr>
          </w:p>
        </w:tc>
        <w:tc>
          <w:tcPr>
            <w:tcW w:w="4752" w:type="dxa"/>
            <w:vAlign w:val="center"/>
          </w:tcPr>
          <w:p w:rsidRPr="006D1556" w:rsidR="002E3FA8" w:rsidP="007E13E5" w:rsidRDefault="005F28D9" w14:paraId="26FC8123" w14:textId="77777777">
            <w:pPr>
              <w:rPr>
                <w:rFonts w:cs="Arial"/>
                <w:szCs w:val="20"/>
              </w:rPr>
            </w:pPr>
            <w:r w:rsidRPr="006D1556">
              <w:rPr>
                <w:rFonts w:cs="Arial"/>
                <w:szCs w:val="20"/>
              </w:rPr>
              <w:t>Control de hipertensión arterial</w:t>
            </w:r>
          </w:p>
        </w:tc>
        <w:tc>
          <w:tcPr>
            <w:tcW w:w="2160" w:type="dxa"/>
            <w:vAlign w:val="center"/>
          </w:tcPr>
          <w:p w:rsidRPr="006D1556" w:rsidR="002E3FA8" w:rsidP="007E13E5" w:rsidRDefault="005F28D9" w14:paraId="3FF2DF13" w14:textId="77777777">
            <w:pPr>
              <w:rPr>
                <w:rFonts w:cs="Arial"/>
                <w:szCs w:val="20"/>
              </w:rPr>
            </w:pPr>
            <w:r w:rsidRPr="006D1556">
              <w:rPr>
                <w:rFonts w:cs="Arial"/>
                <w:szCs w:val="20"/>
              </w:rPr>
              <w:t>≥ 70% de cobertura en captación</w:t>
            </w:r>
          </w:p>
        </w:tc>
      </w:tr>
    </w:tbl>
    <w:p w:rsidR="004C22D0" w:rsidP="10C93EC1" w:rsidRDefault="004C22D0" w14:paraId="6E9E0CE2" w14:textId="5F107D7A">
      <w:pPr>
        <w:rPr>
          <w:b/>
          <w:bCs/>
          <w:i/>
          <w:iCs/>
          <w:color w:val="7F7F7F" w:themeColor="text1" w:themeTint="80"/>
          <w:kern w:val="2"/>
          <w:sz w:val="18"/>
          <w:szCs w:val="18"/>
          <w:lang w:val="es-CO" w:eastAsia="es-CO"/>
          <w14:ligatures w14:val="standardContextual"/>
        </w:rPr>
      </w:pPr>
      <w:r w:rsidRPr="10C93EC1">
        <w:rPr>
          <w:b/>
          <w:bCs/>
          <w:i/>
          <w:iCs/>
          <w:color w:val="7F7F7F" w:themeColor="text1" w:themeTint="80"/>
          <w:sz w:val="18"/>
          <w:szCs w:val="18"/>
          <w:lang w:val="es-CO"/>
        </w:rPr>
        <w:t xml:space="preserve">Fuente: Sistema de Vigilancia en Salud Pública (SIVIGILA), sistemas de información </w:t>
      </w:r>
      <w:r w:rsidRPr="10C93EC1" w:rsidR="007E13E5">
        <w:rPr>
          <w:b/>
          <w:bCs/>
          <w:i/>
          <w:iCs/>
          <w:color w:val="7F7F7F" w:themeColor="text1" w:themeTint="80"/>
          <w:sz w:val="18"/>
          <w:szCs w:val="18"/>
          <w:lang w:val="es-CO"/>
        </w:rPr>
        <w:t>Servinte</w:t>
      </w:r>
      <w:r w:rsidRPr="10C93EC1">
        <w:rPr>
          <w:b/>
          <w:bCs/>
          <w:i/>
          <w:iCs/>
          <w:color w:val="7F7F7F" w:themeColor="text1" w:themeTint="80"/>
          <w:sz w:val="18"/>
          <w:szCs w:val="18"/>
          <w:lang w:val="es-CO"/>
        </w:rPr>
        <w:t xml:space="preserve"> y seguimiento institucional de la Red de Salud del Centro E.S.E., vigencia 2025.</w:t>
      </w:r>
    </w:p>
    <w:p w:rsidR="007E13E5" w:rsidRDefault="005F28D9" w14:paraId="2B4F182B" w14:textId="32B71BD8">
      <w:pPr>
        <w:rPr>
          <w:rFonts w:cs="Arial"/>
          <w:szCs w:val="20"/>
          <w:lang w:val="es-CO"/>
        </w:rPr>
      </w:pPr>
      <w:r w:rsidRPr="006D1556">
        <w:rPr>
          <w:rFonts w:cs="Arial"/>
          <w:szCs w:val="20"/>
          <w:lang w:val="es-CO"/>
        </w:rPr>
        <w:t>Estos indicadores, monitoreados mensualmente a través del Sistema de Vigilancia en Salud Pública (SIVIGILA), permiten la retroalimentación permanente y el ajuste de estrategias según comportamiento epidemiológico real.</w:t>
      </w:r>
    </w:p>
    <w:p w:rsidRPr="006D1556" w:rsidR="002E3FA8" w:rsidRDefault="005F28D9" w14:paraId="145EFA8C" w14:textId="77777777">
      <w:pPr>
        <w:spacing w:before="200"/>
        <w:jc w:val="left"/>
        <w:rPr>
          <w:rFonts w:cs="Arial"/>
          <w:szCs w:val="20"/>
          <w:lang w:val="es-CO"/>
        </w:rPr>
      </w:pPr>
      <w:r w:rsidRPr="006D1556">
        <w:rPr>
          <w:rFonts w:cs="Arial"/>
          <w:b/>
          <w:color w:val="2E5496"/>
          <w:szCs w:val="20"/>
          <w:lang w:val="es-CO"/>
        </w:rPr>
        <w:t>3.3 Cómo consultar el informe de gestión completo de la Red de Salud del Centro E.S.E.</w:t>
      </w:r>
    </w:p>
    <w:p w:rsidRPr="006D1556" w:rsidR="002E3FA8" w:rsidRDefault="005F28D9" w14:paraId="1ABE86EE" w14:textId="77777777">
      <w:pPr>
        <w:spacing w:after="40"/>
        <w:rPr>
          <w:rFonts w:cs="Arial"/>
          <w:szCs w:val="20"/>
          <w:lang w:val="es-CO"/>
        </w:rPr>
      </w:pPr>
      <w:r w:rsidRPr="006D1556">
        <w:rPr>
          <w:rFonts w:cs="Arial"/>
          <w:b/>
          <w:szCs w:val="20"/>
          <w:lang w:val="es-CO"/>
        </w:rPr>
        <w:t>Paso 1 — Ingresar al portal institucional.</w:t>
      </w:r>
    </w:p>
    <w:p w:rsidRPr="006D1556" w:rsidR="002E3FA8" w:rsidRDefault="005F28D9" w14:paraId="1A4B2989" w14:textId="77777777">
      <w:pPr>
        <w:rPr>
          <w:rFonts w:cs="Arial"/>
          <w:szCs w:val="20"/>
          <w:lang w:val="es-CO"/>
        </w:rPr>
      </w:pPr>
      <w:r w:rsidRPr="006D1556">
        <w:rPr>
          <w:rFonts w:cs="Arial"/>
          <w:szCs w:val="20"/>
          <w:lang w:val="es-CO"/>
        </w:rPr>
        <w:t xml:space="preserve">Abre el navegador de tu preferencia (Chrome, Firefox, Edge o Safari) y escribe en la barra de direcciones la siguiente URL: </w:t>
      </w:r>
      <w:r w:rsidRPr="00545AB0">
        <w:rPr>
          <w:rFonts w:cs="Arial"/>
          <w:szCs w:val="20"/>
          <w:u w:val="single"/>
          <w:lang w:val="es-CO"/>
        </w:rPr>
        <w:t xml:space="preserve">https://www.esecentro.gov.co/?s=rendicion+de+cuentas. </w:t>
      </w:r>
      <w:r w:rsidRPr="006D1556">
        <w:rPr>
          <w:rFonts w:cs="Arial"/>
          <w:szCs w:val="20"/>
          <w:lang w:val="es-CO"/>
        </w:rPr>
        <w:t>Presiona Enter para acceder a nuestra página de inicio oficial.</w:t>
      </w:r>
    </w:p>
    <w:p w:rsidRPr="006D1556" w:rsidR="002E3FA8" w:rsidRDefault="005F28D9" w14:paraId="508534C6" w14:textId="77777777">
      <w:pPr>
        <w:spacing w:after="40"/>
        <w:rPr>
          <w:rFonts w:cs="Arial"/>
          <w:szCs w:val="20"/>
          <w:lang w:val="es-CO"/>
        </w:rPr>
      </w:pPr>
      <w:r w:rsidRPr="006D1556">
        <w:rPr>
          <w:rFonts w:cs="Arial"/>
          <w:b/>
          <w:szCs w:val="20"/>
          <w:lang w:val="es-CO"/>
        </w:rPr>
        <w:t>Paso 2 — Ubicar el menú de navegación.</w:t>
      </w:r>
    </w:p>
    <w:p w:rsidRPr="006D1556" w:rsidR="002E3FA8" w:rsidRDefault="005F28D9" w14:paraId="21467F20" w14:textId="77777777">
      <w:pPr>
        <w:rPr>
          <w:rFonts w:cs="Arial"/>
          <w:szCs w:val="20"/>
          <w:lang w:val="es-CO"/>
        </w:rPr>
      </w:pPr>
      <w:r w:rsidRPr="006D1556">
        <w:rPr>
          <w:rFonts w:cs="Arial"/>
          <w:szCs w:val="20"/>
          <w:lang w:val="es-CO"/>
        </w:rPr>
        <w:t>Una vez dentro del portal, identifica el menú principal ubicado en la parte superior o lateral de la página. Busca la opción denominada "Transparencia y Acceso a la Información Pública - Participa".</w:t>
      </w:r>
    </w:p>
    <w:p w:rsidRPr="006D1556" w:rsidR="002E3FA8" w:rsidRDefault="005F28D9" w14:paraId="2887B762" w14:textId="77777777">
      <w:pPr>
        <w:spacing w:after="40"/>
        <w:rPr>
          <w:rFonts w:cs="Arial"/>
          <w:szCs w:val="20"/>
          <w:lang w:val="es-CO"/>
        </w:rPr>
      </w:pPr>
      <w:r w:rsidRPr="006D1556">
        <w:rPr>
          <w:rFonts w:cs="Arial"/>
          <w:b/>
          <w:szCs w:val="20"/>
          <w:lang w:val="es-CO"/>
        </w:rPr>
        <w:t>Paso 3 — Navegar dentro de la sección de Transparencia.</w:t>
      </w:r>
    </w:p>
    <w:p w:rsidRPr="006D1556" w:rsidR="002E3FA8" w:rsidRDefault="005F28D9" w14:paraId="7992EC63" w14:textId="77777777">
      <w:pPr>
        <w:rPr>
          <w:rFonts w:cs="Arial"/>
          <w:szCs w:val="20"/>
          <w:lang w:val="es-CO"/>
        </w:rPr>
      </w:pPr>
      <w:r w:rsidRPr="006D1556">
        <w:rPr>
          <w:rFonts w:cs="Arial"/>
          <w:szCs w:val="20"/>
          <w:lang w:val="es-CO"/>
        </w:rPr>
        <w:t>Al ingresar a la sección de Transparencia, recorre el índice de información pública disponible. Localiza alguna de las siguientes subsecciones: "Rendición de cuentas".</w:t>
      </w:r>
    </w:p>
    <w:p w:rsidRPr="006D1556" w:rsidR="002E3FA8" w:rsidRDefault="005F28D9" w14:paraId="14837E3D" w14:textId="77777777">
      <w:pPr>
        <w:spacing w:after="40"/>
        <w:rPr>
          <w:rFonts w:cs="Arial"/>
          <w:szCs w:val="20"/>
          <w:lang w:val="es-CO"/>
        </w:rPr>
      </w:pPr>
      <w:r w:rsidRPr="006D1556">
        <w:rPr>
          <w:rFonts w:cs="Arial"/>
          <w:b/>
          <w:szCs w:val="20"/>
          <w:lang w:val="es-CO"/>
        </w:rPr>
        <w:t>Paso 4 — Localizar el informe de gestión vigencia 2025.</w:t>
      </w:r>
    </w:p>
    <w:p w:rsidRPr="006D1556" w:rsidR="002E3FA8" w:rsidRDefault="005F28D9" w14:paraId="138EAFC6" w14:textId="77777777">
      <w:pPr>
        <w:rPr>
          <w:rFonts w:cs="Arial"/>
          <w:szCs w:val="20"/>
          <w:lang w:val="es-CO"/>
        </w:rPr>
      </w:pPr>
      <w:r w:rsidRPr="006D1556">
        <w:rPr>
          <w:rFonts w:cs="Arial"/>
          <w:szCs w:val="20"/>
          <w:lang w:val="es-CO"/>
        </w:rPr>
        <w:t>Dentro del listado de documentos publicados, identifica el documento: Informe Rendición de Cuentas 2025.</w:t>
      </w:r>
    </w:p>
    <w:p w:rsidRPr="006D1556" w:rsidR="002E3FA8" w:rsidRDefault="005F28D9" w14:paraId="63F9E897" w14:textId="77777777">
      <w:pPr>
        <w:spacing w:after="40"/>
        <w:rPr>
          <w:rFonts w:cs="Arial"/>
          <w:szCs w:val="20"/>
          <w:lang w:val="es-CO"/>
        </w:rPr>
      </w:pPr>
      <w:r w:rsidRPr="006D1556">
        <w:rPr>
          <w:rFonts w:cs="Arial"/>
          <w:b/>
          <w:szCs w:val="20"/>
          <w:lang w:val="es-CO"/>
        </w:rPr>
        <w:t>Paso 5 — Descargar o consultar el documento.</w:t>
      </w:r>
    </w:p>
    <w:p w:rsidRPr="006D1556" w:rsidR="002E3FA8" w:rsidRDefault="005F28D9" w14:paraId="055CC266" w14:textId="77777777">
      <w:pPr>
        <w:rPr>
          <w:rFonts w:cs="Arial"/>
          <w:szCs w:val="20"/>
          <w:lang w:val="es-CO"/>
        </w:rPr>
      </w:pPr>
      <w:r w:rsidRPr="006D1556">
        <w:rPr>
          <w:rFonts w:cs="Arial"/>
          <w:szCs w:val="20"/>
          <w:lang w:val="es-CO"/>
        </w:rPr>
        <w:t>Haz clic sobre el nombre del archivo. El documento se descargará en formato PDF y podrás abrirlo directamente en el navegador o guardarlo en tu equipo.</w:t>
      </w:r>
    </w:p>
    <w:p w:rsidRPr="006D1556" w:rsidR="002E3FA8" w:rsidRDefault="005F28D9" w14:paraId="529A78DA" w14:textId="77777777">
      <w:pPr>
        <w:pBdr>
          <w:bottom w:val="single" w:color="2E5496" w:sz="6" w:space="2"/>
        </w:pBdr>
        <w:spacing w:before="200"/>
        <w:jc w:val="left"/>
        <w:rPr>
          <w:rFonts w:cs="Arial"/>
          <w:szCs w:val="20"/>
          <w:lang w:val="es-CO"/>
        </w:rPr>
      </w:pPr>
      <w:r w:rsidRPr="006D1556">
        <w:rPr>
          <w:rFonts w:cs="Arial"/>
          <w:b/>
          <w:color w:val="2E5496"/>
          <w:szCs w:val="20"/>
          <w:lang w:val="es-CO"/>
        </w:rPr>
        <w:t>4. ESTRATEGIA DE DIFUSIÓN Y PARTICIPACIÓN CIUDADANA</w:t>
      </w:r>
    </w:p>
    <w:p w:rsidRPr="004C22D0" w:rsidR="002E3FA8" w:rsidRDefault="005F28D9" w14:paraId="0B1B2D13" w14:textId="77777777">
      <w:pPr>
        <w:rPr>
          <w:rFonts w:cs="Arial"/>
          <w:szCs w:val="20"/>
          <w:lang w:val="es-CO"/>
        </w:rPr>
      </w:pPr>
      <w:r w:rsidRPr="006D1556">
        <w:rPr>
          <w:rFonts w:cs="Arial"/>
          <w:szCs w:val="20"/>
          <w:lang w:val="es-CO"/>
        </w:rPr>
        <w:t xml:space="preserve">El Área de Relación con el Ciudadano diseñó e implementó una estrategia integral de difusión y convocatoria, orientada a garantizar el conocimiento oportuno de la ciudadanía sobre el proceso de rendición de cuentas, en cumplimiento de los lineamientos del DAFP y del Manual de Participación Ciudadana. </w:t>
      </w:r>
      <w:r w:rsidRPr="004C22D0">
        <w:rPr>
          <w:rFonts w:cs="Arial"/>
          <w:szCs w:val="20"/>
          <w:lang w:val="es-CO"/>
        </w:rPr>
        <w:t>Las acciones ejecutadas fueron las siguientes:</w:t>
      </w:r>
    </w:p>
    <w:p w:rsidR="004C22D0" w:rsidP="10C93EC1" w:rsidRDefault="004C22D0" w14:paraId="1EFC9F37" w14:textId="58D107F6">
      <w:pPr>
        <w:rPr>
          <w:b/>
          <w:bCs/>
          <w:kern w:val="2"/>
          <w:lang w:val="es-CO" w:eastAsia="es-CO"/>
          <w14:ligatures w14:val="standardContextual"/>
        </w:rPr>
      </w:pPr>
      <w:r w:rsidRPr="10C93EC1">
        <w:rPr>
          <w:b/>
          <w:bCs/>
          <w:lang w:val="es-CO"/>
        </w:rPr>
        <w:t xml:space="preserve">Tabla </w:t>
      </w:r>
      <w:r w:rsidRPr="10C93EC1" w:rsidR="007E13E5">
        <w:rPr>
          <w:b/>
          <w:bCs/>
          <w:lang w:val="es-CO"/>
        </w:rPr>
        <w:t>6</w:t>
      </w:r>
      <w:r w:rsidRPr="10C93EC1">
        <w:rPr>
          <w:b/>
          <w:bCs/>
          <w:lang w:val="es-CO"/>
        </w:rPr>
        <w:t>. Estrategia de difusión y participación ciudadana para la audiencia pública</w:t>
      </w:r>
    </w:p>
    <w:tbl>
      <w:tblPr>
        <w:tblStyle w:val="TableGrid"/>
        <w:tblW w:w="0" w:type="auto"/>
        <w:jc w:val="center"/>
        <w:tblLook w:val="04A0" w:firstRow="1" w:lastRow="0" w:firstColumn="1" w:lastColumn="0" w:noHBand="0" w:noVBand="1"/>
      </w:tblPr>
      <w:tblGrid>
        <w:gridCol w:w="2304"/>
        <w:gridCol w:w="5328"/>
        <w:gridCol w:w="2016"/>
      </w:tblGrid>
      <w:tr w:rsidRPr="006D1556" w:rsidR="002E3FA8" w:rsidTr="007E13E5" w14:paraId="2239AB03" w14:textId="77777777">
        <w:trPr>
          <w:jc w:val="center"/>
        </w:trPr>
        <w:tc>
          <w:tcPr>
            <w:tcW w:w="2304" w:type="dxa"/>
            <w:shd w:val="clear" w:color="auto" w:fill="1F3864"/>
            <w:vAlign w:val="center"/>
          </w:tcPr>
          <w:p w:rsidRPr="006D1556" w:rsidR="002E3FA8" w:rsidRDefault="005F28D9" w14:paraId="2C9CD844" w14:textId="77777777">
            <w:pPr>
              <w:jc w:val="center"/>
              <w:rPr>
                <w:rFonts w:cs="Arial"/>
                <w:szCs w:val="20"/>
              </w:rPr>
            </w:pPr>
            <w:r w:rsidRPr="006D1556">
              <w:rPr>
                <w:rFonts w:cs="Arial"/>
                <w:b/>
                <w:color w:val="FFFFFF"/>
                <w:szCs w:val="20"/>
              </w:rPr>
              <w:t>ESTRATEGIA</w:t>
            </w:r>
          </w:p>
        </w:tc>
        <w:tc>
          <w:tcPr>
            <w:tcW w:w="5328" w:type="dxa"/>
            <w:shd w:val="clear" w:color="auto" w:fill="1F3864"/>
            <w:vAlign w:val="center"/>
          </w:tcPr>
          <w:p w:rsidRPr="006D1556" w:rsidR="002E3FA8" w:rsidRDefault="005F28D9" w14:paraId="1821828B" w14:textId="77777777">
            <w:pPr>
              <w:jc w:val="center"/>
              <w:rPr>
                <w:rFonts w:cs="Arial"/>
                <w:szCs w:val="20"/>
              </w:rPr>
            </w:pPr>
            <w:r w:rsidRPr="006D1556">
              <w:rPr>
                <w:rFonts w:cs="Arial"/>
                <w:b/>
                <w:color w:val="FFFFFF"/>
                <w:szCs w:val="20"/>
              </w:rPr>
              <w:t>ACTIVIDAD REALIZADA</w:t>
            </w:r>
          </w:p>
        </w:tc>
        <w:tc>
          <w:tcPr>
            <w:tcW w:w="2016" w:type="dxa"/>
            <w:shd w:val="clear" w:color="auto" w:fill="1F3864"/>
            <w:vAlign w:val="center"/>
          </w:tcPr>
          <w:p w:rsidRPr="006D1556" w:rsidR="002E3FA8" w:rsidRDefault="005F28D9" w14:paraId="5899E02B" w14:textId="77777777">
            <w:pPr>
              <w:jc w:val="center"/>
              <w:rPr>
                <w:rFonts w:cs="Arial"/>
                <w:szCs w:val="20"/>
              </w:rPr>
            </w:pPr>
            <w:r w:rsidRPr="006D1556">
              <w:rPr>
                <w:rFonts w:cs="Arial"/>
                <w:b/>
                <w:color w:val="FFFFFF"/>
                <w:szCs w:val="20"/>
              </w:rPr>
              <w:t>FECHA</w:t>
            </w:r>
          </w:p>
        </w:tc>
      </w:tr>
      <w:tr w:rsidRPr="006D1556" w:rsidR="002E3FA8" w:rsidTr="007E13E5" w14:paraId="5760B7F8" w14:textId="77777777">
        <w:trPr>
          <w:jc w:val="center"/>
        </w:trPr>
        <w:tc>
          <w:tcPr>
            <w:tcW w:w="2304" w:type="dxa"/>
            <w:vAlign w:val="center"/>
          </w:tcPr>
          <w:p w:rsidRPr="006D1556" w:rsidR="002E3FA8" w:rsidRDefault="005F28D9" w14:paraId="19626051" w14:textId="77777777">
            <w:pPr>
              <w:jc w:val="left"/>
              <w:rPr>
                <w:rFonts w:cs="Arial"/>
                <w:szCs w:val="20"/>
              </w:rPr>
            </w:pPr>
            <w:r w:rsidRPr="006D1556">
              <w:rPr>
                <w:rFonts w:cs="Arial"/>
                <w:szCs w:val="20"/>
              </w:rPr>
              <w:t>Diseño de la estrategia</w:t>
            </w:r>
          </w:p>
        </w:tc>
        <w:tc>
          <w:tcPr>
            <w:tcW w:w="5328" w:type="dxa"/>
            <w:vAlign w:val="center"/>
          </w:tcPr>
          <w:p w:rsidRPr="006D1556" w:rsidR="002E3FA8" w:rsidP="007E13E5" w:rsidRDefault="005F28D9" w14:paraId="6E15CF2D" w14:textId="77777777">
            <w:pPr>
              <w:rPr>
                <w:rFonts w:cs="Arial"/>
                <w:szCs w:val="20"/>
                <w:lang w:val="es-CO"/>
              </w:rPr>
            </w:pPr>
            <w:r w:rsidRPr="006D1556">
              <w:rPr>
                <w:rFonts w:cs="Arial"/>
                <w:szCs w:val="20"/>
                <w:lang w:val="es-CO"/>
              </w:rPr>
              <w:t>Elaboración del documento de estrategia y definición de canales de difusión institucional</w:t>
            </w:r>
          </w:p>
        </w:tc>
        <w:tc>
          <w:tcPr>
            <w:tcW w:w="2016" w:type="dxa"/>
            <w:vAlign w:val="center"/>
          </w:tcPr>
          <w:p w:rsidRPr="006D1556" w:rsidR="002E3FA8" w:rsidP="007E13E5" w:rsidRDefault="005F28D9" w14:paraId="55B9E3B0" w14:textId="77777777">
            <w:pPr>
              <w:rPr>
                <w:rFonts w:cs="Arial"/>
                <w:szCs w:val="20"/>
              </w:rPr>
            </w:pPr>
            <w:r w:rsidRPr="006D1556">
              <w:rPr>
                <w:rFonts w:cs="Arial"/>
                <w:szCs w:val="20"/>
              </w:rPr>
              <w:t>Marzo 16 de 2026</w:t>
            </w:r>
          </w:p>
        </w:tc>
      </w:tr>
      <w:tr w:rsidRPr="006D1556" w:rsidR="002E3FA8" w:rsidTr="007E13E5" w14:paraId="7E157595" w14:textId="77777777">
        <w:trPr>
          <w:jc w:val="center"/>
        </w:trPr>
        <w:tc>
          <w:tcPr>
            <w:tcW w:w="2304" w:type="dxa"/>
            <w:vAlign w:val="center"/>
          </w:tcPr>
          <w:p w:rsidRPr="006D1556" w:rsidR="002E3FA8" w:rsidRDefault="005F28D9" w14:paraId="347E878D" w14:textId="77777777">
            <w:pPr>
              <w:jc w:val="left"/>
              <w:rPr>
                <w:rFonts w:cs="Arial"/>
                <w:szCs w:val="20"/>
              </w:rPr>
            </w:pPr>
            <w:r w:rsidRPr="006D1556">
              <w:rPr>
                <w:rFonts w:cs="Arial"/>
                <w:szCs w:val="20"/>
              </w:rPr>
              <w:t>Estrategia de divulgación</w:t>
            </w:r>
          </w:p>
        </w:tc>
        <w:tc>
          <w:tcPr>
            <w:tcW w:w="5328" w:type="dxa"/>
            <w:vAlign w:val="center"/>
          </w:tcPr>
          <w:p w:rsidRPr="006D1556" w:rsidR="002E3FA8" w:rsidP="007E13E5" w:rsidRDefault="005F28D9" w14:paraId="7522F99F" w14:textId="77777777">
            <w:pPr>
              <w:rPr>
                <w:rFonts w:cs="Arial"/>
                <w:szCs w:val="20"/>
                <w:lang w:val="es-CO"/>
              </w:rPr>
            </w:pPr>
            <w:r w:rsidRPr="006D1556">
              <w:rPr>
                <w:rFonts w:cs="Arial"/>
                <w:szCs w:val="20"/>
                <w:lang w:val="es-CO"/>
              </w:rPr>
              <w:t>Mesa de trabajo con asociaciones de usuarios (reunión mensual de marzo): socialización del proceso de rendición de cuentas, orientación para consulta del informe de gestión en https://www.esecentro.gov.co/?s=rendicion+de+cuentas</w:t>
            </w:r>
          </w:p>
        </w:tc>
        <w:tc>
          <w:tcPr>
            <w:tcW w:w="2016" w:type="dxa"/>
            <w:vAlign w:val="center"/>
          </w:tcPr>
          <w:p w:rsidRPr="006D1556" w:rsidR="002E3FA8" w:rsidP="007E13E5" w:rsidRDefault="005F28D9" w14:paraId="59CF3AF4" w14:textId="77777777">
            <w:pPr>
              <w:rPr>
                <w:rFonts w:cs="Arial"/>
                <w:szCs w:val="20"/>
              </w:rPr>
            </w:pPr>
            <w:r w:rsidRPr="006D1556">
              <w:rPr>
                <w:rFonts w:cs="Arial"/>
                <w:szCs w:val="20"/>
              </w:rPr>
              <w:t>Marzo 25 de 2026</w:t>
            </w:r>
          </w:p>
        </w:tc>
      </w:tr>
      <w:tr w:rsidRPr="006D1556" w:rsidR="002E3FA8" w:rsidTr="007E13E5" w14:paraId="0493D9F4" w14:textId="77777777">
        <w:trPr>
          <w:jc w:val="center"/>
        </w:trPr>
        <w:tc>
          <w:tcPr>
            <w:tcW w:w="2304" w:type="dxa"/>
            <w:vAlign w:val="center"/>
          </w:tcPr>
          <w:p w:rsidRPr="006D1556" w:rsidR="002E3FA8" w:rsidRDefault="005F28D9" w14:paraId="184CD842" w14:textId="77777777">
            <w:pPr>
              <w:jc w:val="left"/>
              <w:rPr>
                <w:rFonts w:cs="Arial"/>
                <w:szCs w:val="20"/>
              </w:rPr>
            </w:pPr>
            <w:r w:rsidRPr="006D1556">
              <w:rPr>
                <w:rFonts w:cs="Arial"/>
                <w:szCs w:val="20"/>
              </w:rPr>
              <w:t>Estrategia de divulgación</w:t>
            </w:r>
          </w:p>
        </w:tc>
        <w:tc>
          <w:tcPr>
            <w:tcW w:w="5328" w:type="dxa"/>
            <w:vAlign w:val="center"/>
          </w:tcPr>
          <w:p w:rsidRPr="006D1556" w:rsidR="002E3FA8" w:rsidP="007E13E5" w:rsidRDefault="005F28D9" w14:paraId="57110AA8" w14:textId="77777777">
            <w:pPr>
              <w:rPr>
                <w:rFonts w:cs="Arial"/>
                <w:szCs w:val="20"/>
                <w:lang w:val="es-CO"/>
              </w:rPr>
            </w:pPr>
            <w:r w:rsidRPr="006D1556">
              <w:rPr>
                <w:rFonts w:cs="Arial"/>
                <w:szCs w:val="20"/>
                <w:lang w:val="es-CO"/>
              </w:rPr>
              <w:t>Reunión mensual de asociaciones de usuarios: socialización de fecha, hora y lugar del evento</w:t>
            </w:r>
          </w:p>
        </w:tc>
        <w:tc>
          <w:tcPr>
            <w:tcW w:w="2016" w:type="dxa"/>
            <w:vAlign w:val="center"/>
          </w:tcPr>
          <w:p w:rsidRPr="006D1556" w:rsidR="002E3FA8" w:rsidP="007E13E5" w:rsidRDefault="005F28D9" w14:paraId="43D2AF17" w14:textId="77777777">
            <w:pPr>
              <w:rPr>
                <w:rFonts w:cs="Arial"/>
                <w:szCs w:val="20"/>
              </w:rPr>
            </w:pPr>
            <w:r w:rsidRPr="006D1556">
              <w:rPr>
                <w:rFonts w:cs="Arial"/>
                <w:szCs w:val="20"/>
              </w:rPr>
              <w:t>Abril 29 de 2026</w:t>
            </w:r>
          </w:p>
        </w:tc>
      </w:tr>
      <w:tr w:rsidRPr="006D1556" w:rsidR="002E3FA8" w:rsidTr="007E13E5" w14:paraId="3B1FC0D7" w14:textId="77777777">
        <w:trPr>
          <w:jc w:val="center"/>
        </w:trPr>
        <w:tc>
          <w:tcPr>
            <w:tcW w:w="2304" w:type="dxa"/>
            <w:vAlign w:val="center"/>
          </w:tcPr>
          <w:p w:rsidRPr="006D1556" w:rsidR="002E3FA8" w:rsidRDefault="005F28D9" w14:paraId="371D1BE4" w14:textId="77777777">
            <w:pPr>
              <w:jc w:val="left"/>
              <w:rPr>
                <w:rFonts w:cs="Arial"/>
                <w:szCs w:val="20"/>
              </w:rPr>
            </w:pPr>
            <w:r w:rsidRPr="006D1556">
              <w:rPr>
                <w:rFonts w:cs="Arial"/>
                <w:szCs w:val="20"/>
              </w:rPr>
              <w:t>Divulgación institucional</w:t>
            </w:r>
          </w:p>
        </w:tc>
        <w:tc>
          <w:tcPr>
            <w:tcW w:w="5328" w:type="dxa"/>
            <w:vAlign w:val="center"/>
          </w:tcPr>
          <w:p w:rsidRPr="006D1556" w:rsidR="002E3FA8" w:rsidP="007E13E5" w:rsidRDefault="005F28D9" w14:paraId="72C3C0C8" w14:textId="77777777">
            <w:pPr>
              <w:rPr>
                <w:rFonts w:cs="Arial"/>
                <w:szCs w:val="20"/>
                <w:lang w:val="es-CO"/>
              </w:rPr>
            </w:pPr>
            <w:r w:rsidRPr="006D1556">
              <w:rPr>
                <w:rFonts w:cs="Arial"/>
                <w:szCs w:val="20"/>
                <w:lang w:val="es-CO"/>
              </w:rPr>
              <w:t>Publicación de la Resolución que formaliza la audiencia en canales institucionales (página web, carteleras en salas de espera de las distintas IPS)</w:t>
            </w:r>
          </w:p>
        </w:tc>
        <w:tc>
          <w:tcPr>
            <w:tcW w:w="2016" w:type="dxa"/>
            <w:vAlign w:val="center"/>
          </w:tcPr>
          <w:p w:rsidRPr="006D1556" w:rsidR="002E3FA8" w:rsidP="007E13E5" w:rsidRDefault="005F28D9" w14:paraId="5AC7B962" w14:textId="77777777">
            <w:pPr>
              <w:rPr>
                <w:rFonts w:cs="Arial"/>
                <w:szCs w:val="20"/>
              </w:rPr>
            </w:pPr>
            <w:r w:rsidRPr="006D1556">
              <w:rPr>
                <w:rFonts w:cs="Arial"/>
                <w:szCs w:val="20"/>
              </w:rPr>
              <w:t>Abril 2026</w:t>
            </w:r>
          </w:p>
        </w:tc>
      </w:tr>
      <w:tr w:rsidRPr="006D1556" w:rsidR="002E3FA8" w:rsidTr="007E13E5" w14:paraId="1D992BC3" w14:textId="77777777">
        <w:trPr>
          <w:jc w:val="center"/>
        </w:trPr>
        <w:tc>
          <w:tcPr>
            <w:tcW w:w="2304" w:type="dxa"/>
            <w:vAlign w:val="center"/>
          </w:tcPr>
          <w:p w:rsidRPr="006D1556" w:rsidR="002E3FA8" w:rsidRDefault="005F28D9" w14:paraId="4C35C295" w14:textId="77777777">
            <w:pPr>
              <w:jc w:val="left"/>
              <w:rPr>
                <w:rFonts w:cs="Arial"/>
                <w:szCs w:val="20"/>
              </w:rPr>
            </w:pPr>
            <w:r w:rsidRPr="006D1556">
              <w:rPr>
                <w:rFonts w:cs="Arial"/>
                <w:szCs w:val="20"/>
              </w:rPr>
              <w:t>Actualización del evento</w:t>
            </w:r>
          </w:p>
        </w:tc>
        <w:tc>
          <w:tcPr>
            <w:tcW w:w="5328" w:type="dxa"/>
            <w:vAlign w:val="center"/>
          </w:tcPr>
          <w:p w:rsidRPr="006D1556" w:rsidR="002E3FA8" w:rsidP="007E13E5" w:rsidRDefault="005F28D9" w14:paraId="4576BD19" w14:textId="77777777">
            <w:pPr>
              <w:rPr>
                <w:rFonts w:cs="Arial"/>
                <w:szCs w:val="20"/>
                <w:lang w:val="es-CO"/>
              </w:rPr>
            </w:pPr>
            <w:r w:rsidRPr="006D1556">
              <w:rPr>
                <w:rFonts w:cs="Arial"/>
                <w:szCs w:val="20"/>
                <w:lang w:val="es-CO"/>
              </w:rPr>
              <w:t>Modificación del lugar del evento a IPS Obrero: difusión por grupos de WhatsApp, página web y carteleras informativas en salas de espera</w:t>
            </w:r>
          </w:p>
        </w:tc>
        <w:tc>
          <w:tcPr>
            <w:tcW w:w="2016" w:type="dxa"/>
            <w:vAlign w:val="center"/>
          </w:tcPr>
          <w:p w:rsidRPr="006D1556" w:rsidR="002E3FA8" w:rsidP="007E13E5" w:rsidRDefault="005F28D9" w14:paraId="7741424B" w14:textId="77777777">
            <w:pPr>
              <w:rPr>
                <w:rFonts w:cs="Arial"/>
                <w:szCs w:val="20"/>
              </w:rPr>
            </w:pPr>
            <w:r w:rsidRPr="006D1556">
              <w:rPr>
                <w:rFonts w:cs="Arial"/>
                <w:szCs w:val="20"/>
              </w:rPr>
              <w:t>Mayo 25 de 2026</w:t>
            </w:r>
          </w:p>
        </w:tc>
      </w:tr>
    </w:tbl>
    <w:p w:rsidR="004C22D0" w:rsidRDefault="004C22D0" w14:paraId="40FB18E4" w14:textId="77777777">
      <w:r w:rsidRPr="10C93EC1">
        <w:rPr>
          <w:b/>
          <w:bCs/>
          <w:i/>
          <w:iCs/>
          <w:color w:val="7F7F7F" w:themeColor="text1" w:themeTint="80"/>
          <w:sz w:val="18"/>
          <w:szCs w:val="18"/>
          <w:lang w:val="es-CO"/>
        </w:rPr>
        <w:t>Fuente: Proceso de Relación con el Ciudadano y soportes de difusión institucional, Red de Salud del Centro E.S.E., 2026.</w:t>
      </w:r>
    </w:p>
    <w:p w:rsidR="10C93EC1" w:rsidP="10C93EC1" w:rsidRDefault="10C93EC1" w14:paraId="7F47D487" w14:textId="39A1B666">
      <w:pPr>
        <w:rPr>
          <w:b/>
          <w:bCs/>
          <w:i/>
          <w:iCs/>
          <w:color w:val="7F7F7F" w:themeColor="text1" w:themeTint="80"/>
          <w:sz w:val="18"/>
          <w:szCs w:val="18"/>
          <w:lang w:val="es-CO"/>
        </w:rPr>
      </w:pPr>
    </w:p>
    <w:p w:rsidR="10C93EC1" w:rsidP="10C93EC1" w:rsidRDefault="10C93EC1" w14:paraId="3D3C3F00" w14:textId="38041384">
      <w:pPr>
        <w:rPr>
          <w:b/>
          <w:bCs/>
          <w:i/>
          <w:iCs/>
          <w:color w:val="7F7F7F" w:themeColor="text1" w:themeTint="80"/>
          <w:sz w:val="18"/>
          <w:szCs w:val="18"/>
          <w:lang w:val="es-CO"/>
        </w:rPr>
      </w:pPr>
    </w:p>
    <w:p w:rsidRPr="006D1556" w:rsidR="002E3FA8" w:rsidRDefault="005F28D9" w14:paraId="18309CB4" w14:textId="77777777">
      <w:pPr>
        <w:pBdr>
          <w:bottom w:val="single" w:color="2E5496" w:sz="6" w:space="2"/>
        </w:pBdr>
        <w:spacing w:before="200"/>
        <w:jc w:val="left"/>
        <w:rPr>
          <w:rFonts w:cs="Arial"/>
          <w:szCs w:val="20"/>
          <w:lang w:val="es-CO"/>
        </w:rPr>
      </w:pPr>
      <w:r w:rsidRPr="006D1556">
        <w:rPr>
          <w:rFonts w:cs="Arial"/>
          <w:b/>
          <w:color w:val="2E5496"/>
          <w:szCs w:val="20"/>
          <w:lang w:val="es-CO"/>
        </w:rPr>
        <w:t>5. EVIDENCIA DE DIFUSIÓN DE LA INFORMACIÓN</w:t>
      </w:r>
    </w:p>
    <w:p w:rsidRPr="006D1556" w:rsidR="002E3FA8" w:rsidRDefault="005F28D9" w14:paraId="1BF85619" w14:textId="77777777">
      <w:pPr>
        <w:spacing w:before="200"/>
        <w:jc w:val="left"/>
        <w:rPr>
          <w:rFonts w:cs="Arial"/>
          <w:szCs w:val="20"/>
          <w:lang w:val="es-CO"/>
        </w:rPr>
      </w:pPr>
      <w:r w:rsidRPr="006D1556">
        <w:rPr>
          <w:rFonts w:cs="Arial"/>
          <w:b/>
          <w:color w:val="2E5496"/>
          <w:szCs w:val="20"/>
          <w:lang w:val="es-CO"/>
        </w:rPr>
        <w:t>5.1. Canales Virtuales</w:t>
      </w:r>
    </w:p>
    <w:p w:rsidRPr="006D1556" w:rsidR="00D70C00" w:rsidP="001A3CEC" w:rsidRDefault="00BD1274" w14:paraId="755A9740" w14:textId="77777777">
      <w:pPr>
        <w:rPr>
          <w:rFonts w:cs="Arial"/>
          <w:noProof/>
          <w:szCs w:val="20"/>
          <w:lang w:val="es-CO"/>
        </w:rPr>
      </w:pPr>
      <w:r w:rsidRPr="006D1556">
        <w:rPr>
          <w:rFonts w:cs="Arial"/>
          <w:szCs w:val="20"/>
          <w:lang w:val="es-CO"/>
        </w:rPr>
        <w:t>En esta sección se incorporan las evidencias digitales de convocatoria, publicación y divulgación realizadas en los canales virtuales institucionales, incluyendo página web, redes sociales oficiales y piezas de comunicación dirigidas a usuarios y comunidad.</w:t>
      </w:r>
    </w:p>
    <w:p w:rsidRPr="00E915E1" w:rsidR="00D70C00" w:rsidP="001A3CEC" w:rsidRDefault="00E915E1" w14:paraId="437B123B" w14:textId="77777777">
      <w:pPr>
        <w:rPr>
          <w:rFonts w:cs="Arial"/>
          <w:noProof/>
          <w:szCs w:val="20"/>
          <w:lang w:val="es-CO"/>
        </w:rPr>
      </w:pPr>
      <w:r w:rsidRPr="00E915E1">
        <w:rPr>
          <w:i/>
          <w:iCs/>
          <w:lang w:val="es-CO"/>
        </w:rPr>
        <w:t>Soporte documental: ver Anexo 1. Evidencias de publicación en página web, redes sociales oficiales y piezas digitales de convocatoria.</w:t>
      </w:r>
    </w:p>
    <w:p w:rsidRPr="006D1556" w:rsidR="002E3FA8" w:rsidP="00A975E2" w:rsidRDefault="001A3CEC" w14:paraId="63774516" w14:textId="77777777">
      <w:pPr>
        <w:jc w:val="center"/>
        <w:rPr>
          <w:rFonts w:cs="Arial"/>
          <w:szCs w:val="20"/>
          <w:lang w:val="es-CO"/>
        </w:rPr>
      </w:pPr>
      <w:r w:rsidRPr="006D1556">
        <w:rPr>
          <w:rFonts w:cs="Arial"/>
          <w:noProof/>
          <w:szCs w:val="20"/>
        </w:rPr>
        <w:drawing>
          <wp:inline distT="0" distB="0" distL="0" distR="0" wp14:anchorId="71A24D28" wp14:editId="496004F3">
            <wp:extent cx="4112260" cy="95619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p_difusion_canales_virtuales.png"/>
                    <pic:cNvPicPr/>
                  </pic:nvPicPr>
                  <pic:blipFill rotWithShape="1">
                    <a:blip r:embed="rId12"/>
                    <a:srcRect t="49893"/>
                    <a:stretch/>
                  </pic:blipFill>
                  <pic:spPr bwMode="auto">
                    <a:xfrm>
                      <a:off x="0" y="0"/>
                      <a:ext cx="4145330" cy="963884"/>
                    </a:xfrm>
                    <a:prstGeom prst="rect">
                      <a:avLst/>
                    </a:prstGeom>
                    <a:ln>
                      <a:noFill/>
                    </a:ln>
                    <a:extLst>
                      <a:ext uri="{53640926-AAD7-44D8-BBD7-CCE9431645EC}">
                        <a14:shadowObscured xmlns:a14="http://schemas.microsoft.com/office/drawing/2010/main"/>
                      </a:ext>
                    </a:extLst>
                  </pic:spPr>
                </pic:pic>
              </a:graphicData>
            </a:graphic>
          </wp:inline>
        </w:drawing>
      </w:r>
    </w:p>
    <w:p w:rsidRPr="006D1556" w:rsidR="002E3FA8" w:rsidRDefault="005F28D9" w14:paraId="58E2EB39" w14:textId="77777777">
      <w:pPr>
        <w:spacing w:before="200"/>
        <w:jc w:val="left"/>
        <w:rPr>
          <w:rFonts w:cs="Arial"/>
          <w:szCs w:val="20"/>
          <w:lang w:val="es-CO"/>
        </w:rPr>
      </w:pPr>
      <w:r w:rsidRPr="006D1556">
        <w:rPr>
          <w:rFonts w:cs="Arial"/>
          <w:b/>
          <w:color w:val="2E5496"/>
          <w:szCs w:val="20"/>
          <w:lang w:val="es-CO"/>
        </w:rPr>
        <w:t>5.2. Canales Físicos</w:t>
      </w:r>
    </w:p>
    <w:p w:rsidRPr="006D1556" w:rsidR="00D70C00" w:rsidP="001A3CEC" w:rsidRDefault="0030087F" w14:paraId="0D2F931A" w14:textId="77777777">
      <w:pPr>
        <w:rPr>
          <w:rFonts w:cs="Arial"/>
          <w:noProof/>
          <w:szCs w:val="20"/>
          <w:lang w:val="es-CO"/>
        </w:rPr>
      </w:pPr>
      <w:r w:rsidRPr="006D1556">
        <w:rPr>
          <w:rFonts w:cs="Arial"/>
          <w:szCs w:val="20"/>
          <w:lang w:val="es-CO"/>
        </w:rPr>
        <w:t>Se relacionan las evidencias físicas de divulgación instaladas en las sedes de la Red, tales como carteleras, avisos en salas de espera y demás soportes utilizados para informar a los usuarios sobre fecha, hora, lugar y mecanismos de participación de la audiencia.</w:t>
      </w:r>
    </w:p>
    <w:p w:rsidRPr="00F52C5B" w:rsidR="00D70C00" w:rsidP="001A3CEC" w:rsidRDefault="00F52C5B" w14:paraId="41EE3D52" w14:textId="77777777">
      <w:pPr>
        <w:rPr>
          <w:rFonts w:cs="Arial"/>
          <w:noProof/>
          <w:szCs w:val="20"/>
          <w:lang w:val="es-CO"/>
        </w:rPr>
      </w:pPr>
      <w:r w:rsidRPr="00F52C5B">
        <w:rPr>
          <w:i/>
          <w:iCs/>
          <w:lang w:val="es-CO"/>
        </w:rPr>
        <w:t>Soporte documental: ver Anexo 2. Registro de carteleras, avisos físicos y evidencias de divulgación instaladas en las sedes de la Red.</w:t>
      </w:r>
    </w:p>
    <w:p w:rsidRPr="006D1556" w:rsidR="002E3FA8" w:rsidP="00A975E2" w:rsidRDefault="001A3CEC" w14:paraId="6BB34655" w14:textId="77777777">
      <w:pPr>
        <w:jc w:val="center"/>
        <w:rPr>
          <w:rFonts w:cs="Arial"/>
          <w:szCs w:val="20"/>
          <w:lang w:val="es-CO"/>
        </w:rPr>
      </w:pPr>
      <w:r w:rsidRPr="006D1556">
        <w:rPr>
          <w:rFonts w:cs="Arial"/>
          <w:noProof/>
          <w:szCs w:val="20"/>
        </w:rPr>
        <w:drawing>
          <wp:inline distT="0" distB="0" distL="0" distR="0" wp14:anchorId="579E1906" wp14:editId="6732D59E">
            <wp:extent cx="5028565" cy="183642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p_fisicos.png"/>
                    <pic:cNvPicPr/>
                  </pic:nvPicPr>
                  <pic:blipFill rotWithShape="1">
                    <a:blip r:embed="rId13"/>
                    <a:srcRect t="6022" b="13350"/>
                    <a:stretch/>
                  </pic:blipFill>
                  <pic:spPr bwMode="auto">
                    <a:xfrm>
                      <a:off x="0" y="0"/>
                      <a:ext cx="5029200" cy="1836652"/>
                    </a:xfrm>
                    <a:prstGeom prst="rect">
                      <a:avLst/>
                    </a:prstGeom>
                    <a:ln>
                      <a:noFill/>
                    </a:ln>
                    <a:extLst>
                      <a:ext uri="{53640926-AAD7-44D8-BBD7-CCE9431645EC}">
                        <a14:shadowObscured xmlns:a14="http://schemas.microsoft.com/office/drawing/2010/main"/>
                      </a:ext>
                    </a:extLst>
                  </pic:spPr>
                </pic:pic>
              </a:graphicData>
            </a:graphic>
          </wp:inline>
        </w:drawing>
      </w:r>
    </w:p>
    <w:p w:rsidRPr="006D1556" w:rsidR="002E3FA8" w:rsidRDefault="005F28D9" w14:paraId="47570D49" w14:textId="77777777">
      <w:pPr>
        <w:spacing w:before="200"/>
        <w:jc w:val="left"/>
        <w:rPr>
          <w:rFonts w:cs="Arial"/>
          <w:szCs w:val="20"/>
          <w:lang w:val="es-CO"/>
        </w:rPr>
      </w:pPr>
      <w:r w:rsidRPr="006D1556">
        <w:rPr>
          <w:rFonts w:cs="Arial"/>
          <w:b/>
          <w:color w:val="2E5496"/>
          <w:szCs w:val="20"/>
          <w:lang w:val="es-CO"/>
        </w:rPr>
        <w:t>5.3 Grupos de WhatsApp</w:t>
      </w:r>
    </w:p>
    <w:p w:rsidRPr="006D1556" w:rsidR="00D70C00" w:rsidP="001A3CEC" w:rsidRDefault="00DA7271" w14:paraId="14273F85" w14:textId="77777777">
      <w:pPr>
        <w:rPr>
          <w:rFonts w:cs="Arial"/>
          <w:noProof/>
          <w:szCs w:val="20"/>
          <w:lang w:val="es-CO"/>
        </w:rPr>
      </w:pPr>
      <w:r w:rsidRPr="006D1556">
        <w:rPr>
          <w:rFonts w:cs="Arial"/>
          <w:szCs w:val="20"/>
          <w:lang w:val="es-CO"/>
        </w:rPr>
        <w:t>Se documentan los mensajes de convocatoria y actualización enviados a través de grupos comunitarios e institucionales de WhatsApp, como mecanismo complementario para ampliar el alcance de la información y facilitar la participación ciudadana.</w:t>
      </w:r>
    </w:p>
    <w:p w:rsidRPr="0089538B" w:rsidR="00D70C00" w:rsidP="001A3CEC" w:rsidRDefault="0089538B" w14:paraId="1E6A5000" w14:textId="77777777">
      <w:pPr>
        <w:rPr>
          <w:rFonts w:cs="Arial"/>
          <w:noProof/>
          <w:szCs w:val="20"/>
          <w:lang w:val="es-CO"/>
        </w:rPr>
      </w:pPr>
      <w:r w:rsidRPr="0089538B">
        <w:rPr>
          <w:i/>
          <w:iCs/>
          <w:lang w:val="es-CO"/>
        </w:rPr>
        <w:t>Soporte documental: ver Anexo 3. Capturas y registros de difusión por grupos comunitarios e institucionales de WhatsApp.</w:t>
      </w:r>
    </w:p>
    <w:p w:rsidRPr="006D1556" w:rsidR="002E3FA8" w:rsidP="00A975E2" w:rsidRDefault="001A3CEC" w14:paraId="6F8BCBDD" w14:textId="77777777">
      <w:pPr>
        <w:jc w:val="center"/>
        <w:rPr>
          <w:rFonts w:cs="Arial"/>
          <w:szCs w:val="20"/>
          <w:lang w:val="es-CO"/>
        </w:rPr>
      </w:pPr>
      <w:r w:rsidRPr="006D1556">
        <w:rPr>
          <w:rFonts w:cs="Arial"/>
          <w:noProof/>
          <w:szCs w:val="20"/>
        </w:rPr>
        <w:drawing>
          <wp:inline distT="0" distB="0" distL="0" distR="0" wp14:anchorId="6118E282" wp14:editId="12B66D92">
            <wp:extent cx="5302250" cy="12965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p_whatsapp.png"/>
                    <pic:cNvPicPr/>
                  </pic:nvPicPr>
                  <pic:blipFill rotWithShape="1">
                    <a:blip r:embed="rId14"/>
                    <a:srcRect t="41359"/>
                    <a:stretch/>
                  </pic:blipFill>
                  <pic:spPr bwMode="auto">
                    <a:xfrm>
                      <a:off x="0" y="0"/>
                      <a:ext cx="5327386" cy="1302656"/>
                    </a:xfrm>
                    <a:prstGeom prst="rect">
                      <a:avLst/>
                    </a:prstGeom>
                    <a:ln>
                      <a:noFill/>
                    </a:ln>
                    <a:extLst>
                      <a:ext uri="{53640926-AAD7-44D8-BBD7-CCE9431645EC}">
                        <a14:shadowObscured xmlns:a14="http://schemas.microsoft.com/office/drawing/2010/main"/>
                      </a:ext>
                    </a:extLst>
                  </pic:spPr>
                </pic:pic>
              </a:graphicData>
            </a:graphic>
          </wp:inline>
        </w:drawing>
      </w:r>
    </w:p>
    <w:p w:rsidRPr="006D1556" w:rsidR="002E3FA8" w:rsidRDefault="00390148" w14:paraId="2AD1DE46" w14:textId="77777777">
      <w:pPr>
        <w:spacing w:before="200"/>
        <w:jc w:val="left"/>
        <w:rPr>
          <w:rFonts w:cs="Arial"/>
          <w:szCs w:val="20"/>
          <w:lang w:val="es-CO"/>
        </w:rPr>
      </w:pPr>
      <w:r w:rsidRPr="006D1556">
        <w:rPr>
          <w:rFonts w:cs="Arial"/>
          <w:b/>
          <w:bCs/>
          <w:color w:val="2E5496"/>
          <w:szCs w:val="20"/>
          <w:lang w:val="es-CO"/>
        </w:rPr>
        <w:t>5.4 Mesas de socialización y orientación comunitaria</w:t>
      </w:r>
    </w:p>
    <w:p w:rsidRPr="006D1556" w:rsidR="00390148" w:rsidRDefault="00390148" w14:paraId="6260100F" w14:textId="77777777">
      <w:pPr>
        <w:rPr>
          <w:rFonts w:cs="Arial"/>
          <w:kern w:val="2"/>
          <w:szCs w:val="20"/>
          <w:lang w:val="es-CO" w:eastAsia="es-CO"/>
          <w14:ligatures w14:val="standardContextual"/>
        </w:rPr>
      </w:pPr>
      <w:r w:rsidRPr="006D1556">
        <w:rPr>
          <w:rFonts w:cs="Arial"/>
          <w:szCs w:val="20"/>
          <w:lang w:val="es-CO"/>
        </w:rPr>
        <w:t>Las mesas de socialización permitieron orientar a la comunidad sobre la consulta del informe de gestión, los canales de participación y la metodología de formulación de preguntas. Estas actividades fortalecieron la preparación ciudadana previa a la audiencia y facilitaron la representación organizada de las comunas en el espacio de diálogo.</w:t>
      </w:r>
    </w:p>
    <w:p w:rsidR="0089538B" w:rsidRDefault="0089538B" w14:paraId="0B13CE31" w14:textId="77777777">
      <w:pPr>
        <w:rPr>
          <w:kern w:val="2"/>
          <w:szCs w:val="20"/>
          <w:lang w:val="es-CO" w:eastAsia="es-CO"/>
          <w14:ligatures w14:val="standardContextual"/>
        </w:rPr>
      </w:pPr>
      <w:r w:rsidRPr="0089538B">
        <w:rPr>
          <w:i/>
          <w:iCs/>
          <w:lang w:val="es-CO"/>
        </w:rPr>
        <w:t>Soporte documental: ver Anexo 4. Registro de mesas de socialización, orientación comunitaria y participación de asociaciones de usuarios.</w:t>
      </w:r>
    </w:p>
    <w:p w:rsidRPr="006D1556" w:rsidR="002E3FA8" w:rsidRDefault="005F28D9" w14:paraId="026DDB6F" w14:textId="77777777">
      <w:pPr>
        <w:pBdr>
          <w:bottom w:val="single" w:color="2E5496" w:sz="6" w:space="2"/>
        </w:pBdr>
        <w:spacing w:before="200"/>
        <w:jc w:val="left"/>
        <w:rPr>
          <w:rFonts w:cs="Arial"/>
          <w:szCs w:val="20"/>
          <w:lang w:val="es-CO"/>
        </w:rPr>
      </w:pPr>
      <w:r w:rsidRPr="006D1556">
        <w:rPr>
          <w:rFonts w:cs="Arial"/>
          <w:b/>
          <w:color w:val="2E5496"/>
          <w:szCs w:val="20"/>
          <w:lang w:val="es-CO"/>
        </w:rPr>
        <w:t>6. ESPACIO DE PARTICIPACIÓN CIUDADANA – PREGUNTAS Y RESPUESTAS</w:t>
      </w:r>
    </w:p>
    <w:p w:rsidRPr="006D1556" w:rsidR="002E3FA8" w:rsidRDefault="005F28D9" w14:paraId="4B87E46D" w14:textId="77777777">
      <w:pPr>
        <w:rPr>
          <w:rFonts w:cs="Arial"/>
          <w:szCs w:val="20"/>
          <w:lang w:val="es-CO"/>
        </w:rPr>
      </w:pPr>
      <w:r w:rsidRPr="006D1556">
        <w:rPr>
          <w:rFonts w:cs="Arial"/>
          <w:szCs w:val="20"/>
          <w:lang w:val="es-CO"/>
        </w:rPr>
        <w:t>De conformidad con los principios de diálogo, transparencia y participación que rigen el proceso de rendición de cuentas, se abrió un espacio formal para la formulación de preguntas, inquietudes, sugerencias y aportes por parte de la ciudadanía asistente. Las preguntas formuladas durante el evento fueron atendidas en tiempo real por los ponentes.</w:t>
      </w:r>
    </w:p>
    <w:p w:rsidRPr="006D1556" w:rsidR="002E3FA8" w:rsidRDefault="005F28D9" w14:paraId="3752FECB" w14:textId="77777777">
      <w:pPr>
        <w:rPr>
          <w:rFonts w:cs="Arial"/>
          <w:szCs w:val="20"/>
          <w:lang w:val="es-CO"/>
        </w:rPr>
      </w:pPr>
      <w:r w:rsidRPr="006D1556">
        <w:rPr>
          <w:rFonts w:cs="Arial"/>
          <w:szCs w:val="20"/>
          <w:lang w:val="es-CO"/>
        </w:rPr>
        <w:t>La Asociación de Usuarios de la Red de Salud del Centro E.S.E. desempeñó un rol fundamental al organizarse activamente de manera comunitaria. Recopiló, estructuró y canalizó las principales inquietudes, necesidades y percepciones de la ciudadanía, formulando las preguntas oficiales en representación directa de sus respectivas comunas. Por otra parte, cabe señalar dentro del balance de este ejercicio participativo que, mientras las comunas 8, 9, 10 y 12 presentaron sus pliegos de preguntas a través de sus delegados, la comunidad perteneciente a la Comuna 11 no realizó preguntas para este periodo de rendición de cuentas.</w:t>
      </w:r>
    </w:p>
    <w:p w:rsidRPr="006D1556" w:rsidR="002E3FA8" w:rsidRDefault="005F28D9" w14:paraId="06059062" w14:textId="1758D4DF">
      <w:pPr>
        <w:rPr>
          <w:rFonts w:cs="Arial"/>
          <w:szCs w:val="20"/>
          <w:lang w:val="es-CO"/>
        </w:rPr>
      </w:pPr>
      <w:r w:rsidRPr="006D1556">
        <w:rPr>
          <w:rFonts w:cs="Arial"/>
          <w:szCs w:val="20"/>
          <w:lang w:val="es-CO"/>
        </w:rPr>
        <w:t>A continuación, se presenta el cuadro unificado con la consolidación de las preguntas generadas por las diferentes Asociaciones de Usuarios en cada comuna.</w:t>
      </w:r>
    </w:p>
    <w:p w:rsidR="004C22D0" w:rsidP="10C93EC1" w:rsidRDefault="004C22D0" w14:paraId="2711670D" w14:textId="270780DD">
      <w:pPr>
        <w:rPr>
          <w:b/>
          <w:bCs/>
          <w:kern w:val="2"/>
          <w:lang w:val="es-CO" w:eastAsia="es-CO"/>
          <w14:ligatures w14:val="standardContextual"/>
        </w:rPr>
      </w:pPr>
      <w:r w:rsidRPr="10C93EC1">
        <w:rPr>
          <w:b/>
          <w:bCs/>
          <w:lang w:val="es-CO"/>
        </w:rPr>
        <w:t xml:space="preserve">Tabla </w:t>
      </w:r>
      <w:r w:rsidRPr="10C93EC1" w:rsidR="007E13E5">
        <w:rPr>
          <w:b/>
          <w:bCs/>
          <w:lang w:val="es-CO"/>
        </w:rPr>
        <w:t>7</w:t>
      </w:r>
      <w:r w:rsidRPr="10C93EC1">
        <w:rPr>
          <w:b/>
          <w:bCs/>
          <w:lang w:val="es-CO"/>
        </w:rPr>
        <w:t>. Consolidado de preguntas ciudadanas y respuestas técnicas institucionales por comuna</w:t>
      </w:r>
    </w:p>
    <w:tbl>
      <w:tblPr>
        <w:tblStyle w:val="TableGrid"/>
        <w:tblW w:w="0" w:type="auto"/>
        <w:tblLook w:val="04A0" w:firstRow="1" w:lastRow="0" w:firstColumn="1" w:lastColumn="0" w:noHBand="0" w:noVBand="1"/>
      </w:tblPr>
      <w:tblGrid>
        <w:gridCol w:w="1152"/>
        <w:gridCol w:w="3456"/>
        <w:gridCol w:w="5040"/>
      </w:tblGrid>
      <w:tr w:rsidRPr="00846AFF" w:rsidR="002E3FA8" w:rsidTr="007E13E5" w14:paraId="3BFA75C6" w14:textId="77777777">
        <w:trPr>
          <w:tblHeader/>
        </w:trPr>
        <w:tc>
          <w:tcPr>
            <w:tcW w:w="1152" w:type="dxa"/>
            <w:shd w:val="clear" w:color="auto" w:fill="1F3864"/>
            <w:vAlign w:val="center"/>
          </w:tcPr>
          <w:p w:rsidRPr="006D1556" w:rsidR="002E3FA8" w:rsidRDefault="005F28D9" w14:paraId="1E80C2E4" w14:textId="77777777">
            <w:pPr>
              <w:jc w:val="center"/>
              <w:rPr>
                <w:rFonts w:cs="Arial"/>
                <w:szCs w:val="20"/>
              </w:rPr>
            </w:pPr>
            <w:proofErr w:type="spellStart"/>
            <w:r w:rsidRPr="006D1556">
              <w:rPr>
                <w:rFonts w:cs="Arial"/>
                <w:b/>
                <w:color w:val="FFFFFF"/>
                <w:szCs w:val="20"/>
              </w:rPr>
              <w:t>Comuna</w:t>
            </w:r>
            <w:proofErr w:type="spellEnd"/>
          </w:p>
        </w:tc>
        <w:tc>
          <w:tcPr>
            <w:tcW w:w="3456" w:type="dxa"/>
            <w:shd w:val="clear" w:color="auto" w:fill="1F3864"/>
            <w:vAlign w:val="center"/>
          </w:tcPr>
          <w:p w:rsidRPr="006D1556" w:rsidR="002E3FA8" w:rsidRDefault="005F28D9" w14:paraId="4CC15CA6" w14:textId="77777777">
            <w:pPr>
              <w:jc w:val="center"/>
              <w:rPr>
                <w:rFonts w:cs="Arial"/>
                <w:szCs w:val="20"/>
                <w:lang w:val="es-CO"/>
              </w:rPr>
            </w:pPr>
            <w:r w:rsidRPr="006D1556">
              <w:rPr>
                <w:rFonts w:cs="Arial"/>
                <w:b/>
                <w:color w:val="FFFFFF"/>
                <w:szCs w:val="20"/>
                <w:lang w:val="es-CO"/>
              </w:rPr>
              <w:t>Pregunta Formulada por la Comunidad</w:t>
            </w:r>
          </w:p>
        </w:tc>
        <w:tc>
          <w:tcPr>
            <w:tcW w:w="5040" w:type="dxa"/>
            <w:shd w:val="clear" w:color="auto" w:fill="1F3864"/>
            <w:vAlign w:val="center"/>
          </w:tcPr>
          <w:p w:rsidRPr="006D1556" w:rsidR="002E3FA8" w:rsidRDefault="005F28D9" w14:paraId="310C3282" w14:textId="77777777">
            <w:pPr>
              <w:jc w:val="center"/>
              <w:rPr>
                <w:rFonts w:cs="Arial"/>
                <w:szCs w:val="20"/>
                <w:lang w:val="es-CO"/>
              </w:rPr>
            </w:pPr>
            <w:r w:rsidRPr="006D1556">
              <w:rPr>
                <w:rFonts w:cs="Arial"/>
                <w:b/>
                <w:color w:val="FFFFFF"/>
                <w:szCs w:val="20"/>
                <w:lang w:val="es-CO"/>
              </w:rPr>
              <w:t>Respuesta Técnica Institucional (Red de Salud del Centro E.S.E.)</w:t>
            </w:r>
          </w:p>
        </w:tc>
      </w:tr>
      <w:tr w:rsidRPr="00846AFF" w:rsidR="002E3FA8" w:rsidTr="007E13E5" w14:paraId="2DAD90D3" w14:textId="77777777">
        <w:tc>
          <w:tcPr>
            <w:tcW w:w="1152" w:type="dxa"/>
            <w:vAlign w:val="center"/>
          </w:tcPr>
          <w:p w:rsidRPr="006D1556" w:rsidR="002E3FA8" w:rsidRDefault="005F28D9" w14:paraId="128510E3" w14:textId="77777777">
            <w:pPr>
              <w:jc w:val="left"/>
              <w:rPr>
                <w:rFonts w:cs="Arial"/>
                <w:szCs w:val="20"/>
              </w:rPr>
            </w:pPr>
            <w:proofErr w:type="spellStart"/>
            <w:r w:rsidRPr="006D1556">
              <w:rPr>
                <w:rFonts w:cs="Arial"/>
                <w:szCs w:val="20"/>
              </w:rPr>
              <w:t>Comuna</w:t>
            </w:r>
            <w:proofErr w:type="spellEnd"/>
            <w:r w:rsidRPr="006D1556">
              <w:rPr>
                <w:rFonts w:cs="Arial"/>
                <w:szCs w:val="20"/>
              </w:rPr>
              <w:t xml:space="preserve"> 8</w:t>
            </w:r>
          </w:p>
        </w:tc>
        <w:tc>
          <w:tcPr>
            <w:tcW w:w="3456" w:type="dxa"/>
            <w:vAlign w:val="center"/>
          </w:tcPr>
          <w:p w:rsidRPr="006D1556" w:rsidR="002E3FA8" w:rsidP="007E13E5" w:rsidRDefault="005F28D9" w14:paraId="15E593C8" w14:textId="77777777">
            <w:pPr>
              <w:rPr>
                <w:rFonts w:cs="Arial"/>
                <w:szCs w:val="20"/>
                <w:lang w:val="es-CO"/>
              </w:rPr>
            </w:pPr>
            <w:r w:rsidRPr="006D1556">
              <w:rPr>
                <w:rFonts w:cs="Arial"/>
                <w:szCs w:val="20"/>
                <w:lang w:val="es-CO"/>
              </w:rPr>
              <w:t>Infraestructura: ¿Cuál es el estado actual, el avance y la información oficial sobre la obra del Hospital Primitivo Iglesias?</w:t>
            </w:r>
          </w:p>
        </w:tc>
        <w:tc>
          <w:tcPr>
            <w:tcW w:w="5040" w:type="dxa"/>
            <w:vAlign w:val="center"/>
          </w:tcPr>
          <w:p w:rsidRPr="006D1556" w:rsidR="002E3FA8" w:rsidP="007E13E5" w:rsidRDefault="005F28D9" w14:paraId="236325CB" w14:textId="77777777">
            <w:pPr>
              <w:rPr>
                <w:rFonts w:cs="Arial"/>
                <w:szCs w:val="20"/>
                <w:lang w:val="es-CO"/>
              </w:rPr>
            </w:pPr>
            <w:r w:rsidRPr="006D1556">
              <w:rPr>
                <w:rFonts w:cs="Arial"/>
                <w:szCs w:val="20"/>
                <w:lang w:val="es-CO"/>
              </w:rPr>
              <w:t>Estado de la Obra y Actividades Civiles: La obra se encuentra en fase activa de ejecución física y estructural bajo estricta supervisión de interventoría. Los reportes gráficos y de planeación institucional confirman la realización de las siguientes actividades técnicas en el terreno: demolición completa de las áreas a intervenir, desmonte de mobiliario y desmonte total de redes de servicios previas; implementación de cerramientos de protección perimetral y ejecución de Planes de Manejo de Tránsito (PMT); avance en la cimentación profunda mediante excavación, retiro de escombros, localización, replanteo, armado de aceros estructurales y fundición de zapatas.</w:t>
            </w:r>
          </w:p>
        </w:tc>
      </w:tr>
      <w:tr w:rsidRPr="00846AFF" w:rsidR="002E3FA8" w:rsidTr="007E13E5" w14:paraId="70B7970E" w14:textId="77777777">
        <w:tc>
          <w:tcPr>
            <w:tcW w:w="1152" w:type="dxa"/>
            <w:vAlign w:val="center"/>
          </w:tcPr>
          <w:p w:rsidRPr="006D1556" w:rsidR="002E3FA8" w:rsidRDefault="005F28D9" w14:paraId="7699AB57" w14:textId="77777777">
            <w:pPr>
              <w:jc w:val="left"/>
              <w:rPr>
                <w:rFonts w:cs="Arial"/>
                <w:szCs w:val="20"/>
              </w:rPr>
            </w:pPr>
            <w:proofErr w:type="spellStart"/>
            <w:r w:rsidRPr="006D1556">
              <w:rPr>
                <w:rFonts w:cs="Arial"/>
                <w:szCs w:val="20"/>
              </w:rPr>
              <w:t>Comuna</w:t>
            </w:r>
            <w:proofErr w:type="spellEnd"/>
            <w:r w:rsidRPr="006D1556">
              <w:rPr>
                <w:rFonts w:cs="Arial"/>
                <w:szCs w:val="20"/>
              </w:rPr>
              <w:t xml:space="preserve"> 9 (</w:t>
            </w:r>
            <w:proofErr w:type="spellStart"/>
            <w:r w:rsidRPr="006D1556">
              <w:rPr>
                <w:rFonts w:cs="Arial"/>
                <w:szCs w:val="20"/>
              </w:rPr>
              <w:t>Incluye</w:t>
            </w:r>
            <w:proofErr w:type="spellEnd"/>
            <w:r w:rsidRPr="006D1556">
              <w:rPr>
                <w:rFonts w:cs="Arial"/>
                <w:szCs w:val="20"/>
              </w:rPr>
              <w:t xml:space="preserve"> IPS Obrero)</w:t>
            </w:r>
          </w:p>
        </w:tc>
        <w:tc>
          <w:tcPr>
            <w:tcW w:w="3456" w:type="dxa"/>
            <w:vAlign w:val="center"/>
          </w:tcPr>
          <w:p w:rsidRPr="006D1556" w:rsidR="002E3FA8" w:rsidP="007E13E5" w:rsidRDefault="005F28D9" w14:paraId="004F2DC2" w14:textId="77777777">
            <w:pPr>
              <w:rPr>
                <w:rFonts w:cs="Arial"/>
                <w:szCs w:val="20"/>
                <w:lang w:val="es-CO"/>
              </w:rPr>
            </w:pPr>
            <w:r w:rsidRPr="006D1556">
              <w:rPr>
                <w:rFonts w:cs="Arial"/>
                <w:szCs w:val="20"/>
                <w:lang w:val="es-CO"/>
              </w:rPr>
              <w:t>IPS Obrero (Electrocardiograma): ¿Cuáles fueron las razones de la no disponibilidad del servicio de electrocardiograma en la IPS Obrero durante 2025 y qué proyección se dejó para su habilitación?</w:t>
            </w:r>
          </w:p>
        </w:tc>
        <w:tc>
          <w:tcPr>
            <w:tcW w:w="5040" w:type="dxa"/>
            <w:vAlign w:val="center"/>
          </w:tcPr>
          <w:p w:rsidRPr="006D1556" w:rsidR="002E3FA8" w:rsidP="007E13E5" w:rsidRDefault="005958D4" w14:paraId="789B1668" w14:textId="7EFA9D42">
            <w:pPr>
              <w:rPr>
                <w:rFonts w:cs="Arial"/>
                <w:szCs w:val="20"/>
                <w:lang w:val="es-CO"/>
              </w:rPr>
            </w:pPr>
            <w:r w:rsidRPr="005958D4">
              <w:rPr>
                <w:rFonts w:cs="Arial"/>
                <w:szCs w:val="20"/>
                <w:lang w:val="es-CO"/>
              </w:rPr>
              <w:t xml:space="preserve">Respecto a este tema, durante la rendición de cuentas se informó que el servicio no se encontraba disponible en ese momento debido a dificultades relacionadas con algunos insumos necesarios para la operación del equipo, los cuales no habían podido ser adquiridos </w:t>
            </w:r>
            <w:r>
              <w:rPr>
                <w:rFonts w:cs="Arial"/>
                <w:szCs w:val="20"/>
                <w:lang w:val="es-CO"/>
              </w:rPr>
              <w:t>por no disponibilidad en el mercado</w:t>
            </w:r>
            <w:r w:rsidRPr="005958D4">
              <w:rPr>
                <w:rFonts w:cs="Arial"/>
                <w:szCs w:val="20"/>
                <w:lang w:val="es-CO"/>
              </w:rPr>
              <w:t>. Sin embargo, también se comunicó que la institución ya se encontraba realizando las gestiones correspondientes para su consecución y que se había logrado identificar un proveedor que podía suministrarlos. Por tal motivo, se indicó que, una vez recibidos dichos insumos, el servicio sería reactivado y puesto nuevamente a disposición de la comunidad en el menor tiempo posible.</w:t>
            </w:r>
          </w:p>
        </w:tc>
      </w:tr>
      <w:tr w:rsidRPr="00846AFF" w:rsidR="002E3FA8" w:rsidTr="007E13E5" w14:paraId="17839263" w14:textId="77777777">
        <w:tc>
          <w:tcPr>
            <w:tcW w:w="1152" w:type="dxa"/>
            <w:vAlign w:val="center"/>
          </w:tcPr>
          <w:p w:rsidRPr="006D1556" w:rsidR="002E3FA8" w:rsidRDefault="002E3FA8" w14:paraId="4E2AE54D" w14:textId="77777777">
            <w:pPr>
              <w:jc w:val="left"/>
              <w:rPr>
                <w:rFonts w:cs="Arial"/>
                <w:szCs w:val="20"/>
                <w:lang w:val="es-CO"/>
              </w:rPr>
            </w:pPr>
          </w:p>
        </w:tc>
        <w:tc>
          <w:tcPr>
            <w:tcW w:w="3456" w:type="dxa"/>
            <w:vAlign w:val="center"/>
          </w:tcPr>
          <w:p w:rsidRPr="006D1556" w:rsidR="002E3FA8" w:rsidP="007E13E5" w:rsidRDefault="005F28D9" w14:paraId="5EABA67E" w14:textId="77777777">
            <w:pPr>
              <w:rPr>
                <w:rFonts w:cs="Arial"/>
                <w:szCs w:val="20"/>
                <w:lang w:val="es-CO"/>
              </w:rPr>
            </w:pPr>
            <w:r w:rsidRPr="006D1556">
              <w:rPr>
                <w:rFonts w:cs="Arial"/>
                <w:szCs w:val="20"/>
                <w:lang w:val="es-CO"/>
              </w:rPr>
              <w:t>Citas prioritarias: ¿Cuál fue la cobertura y capacidad de respuesta del servicio de citas prioritarias en 2025, y qué acciones se desarrollaron para resolver las dificultades de acceso percibidas por la comunidad?</w:t>
            </w:r>
          </w:p>
        </w:tc>
        <w:tc>
          <w:tcPr>
            <w:tcW w:w="5040" w:type="dxa"/>
            <w:vAlign w:val="center"/>
          </w:tcPr>
          <w:p w:rsidRPr="006D1556" w:rsidR="002E3FA8" w:rsidP="007E13E5" w:rsidRDefault="005F28D9" w14:paraId="7A1F22B6" w14:textId="77777777">
            <w:pPr>
              <w:rPr>
                <w:rFonts w:cs="Arial"/>
                <w:szCs w:val="20"/>
                <w:lang w:val="es-CO"/>
              </w:rPr>
            </w:pPr>
            <w:r w:rsidRPr="006D1556">
              <w:rPr>
                <w:rFonts w:cs="Arial"/>
                <w:szCs w:val="20"/>
                <w:lang w:val="es-CO"/>
              </w:rPr>
              <w:t>La Red garantizó la continuidad del servicio alcanzando 169.022 consultas de medicina general electivas y 23.197 de urgencias en la vigencia. El tiempo promedio de asignación de cita de medicina general se estabilizó óptimamente en 1,9 días. Para resolver las barreras de acceso, se implementó la búsqueda activa en territorio con Equipos Básicos de Salud (EBS) y estrategias de demanda inducida directa en salas de espera.</w:t>
            </w:r>
          </w:p>
        </w:tc>
      </w:tr>
      <w:tr w:rsidRPr="00846AFF" w:rsidR="002E3FA8" w:rsidTr="007E13E5" w14:paraId="5DFB0536" w14:textId="77777777">
        <w:tc>
          <w:tcPr>
            <w:tcW w:w="1152" w:type="dxa"/>
            <w:vAlign w:val="center"/>
          </w:tcPr>
          <w:p w:rsidRPr="006D1556" w:rsidR="002E3FA8" w:rsidRDefault="002E3FA8" w14:paraId="2D939398" w14:textId="77777777">
            <w:pPr>
              <w:jc w:val="left"/>
              <w:rPr>
                <w:rFonts w:cs="Arial"/>
                <w:szCs w:val="20"/>
                <w:lang w:val="es-CO"/>
              </w:rPr>
            </w:pPr>
          </w:p>
        </w:tc>
        <w:tc>
          <w:tcPr>
            <w:tcW w:w="3456" w:type="dxa"/>
            <w:vAlign w:val="center"/>
          </w:tcPr>
          <w:p w:rsidRPr="006D1556" w:rsidR="002E3FA8" w:rsidP="007E13E5" w:rsidRDefault="005F28D9" w14:paraId="1191E778" w14:textId="77777777">
            <w:pPr>
              <w:rPr>
                <w:rFonts w:cs="Arial"/>
                <w:szCs w:val="20"/>
                <w:lang w:val="es-CO"/>
              </w:rPr>
            </w:pPr>
            <w:r w:rsidRPr="006D1556">
              <w:rPr>
                <w:rFonts w:cs="Arial"/>
                <w:szCs w:val="20"/>
                <w:lang w:val="es-CO"/>
              </w:rPr>
              <w:t>Humanización del servicio: ¿Qué medidas administrativas y de seguimiento adoptó la institución en 2025 frente a los funcionarios que presentaron de manera reiterativa actitudes o comportamientos inadecuados en la atención a los usuarios?</w:t>
            </w:r>
          </w:p>
        </w:tc>
        <w:tc>
          <w:tcPr>
            <w:tcW w:w="5040" w:type="dxa"/>
            <w:vAlign w:val="center"/>
          </w:tcPr>
          <w:p w:rsidRPr="006D1556" w:rsidR="002E3FA8" w:rsidP="007E13E5" w:rsidRDefault="001D6DD8" w14:paraId="25699161" w14:textId="69101B46">
            <w:pPr>
              <w:rPr>
                <w:rFonts w:cs="Arial"/>
                <w:szCs w:val="20"/>
                <w:lang w:val="es-CO"/>
              </w:rPr>
            </w:pPr>
            <w:r w:rsidRPr="006D1556">
              <w:rPr>
                <w:rFonts w:cs="Arial"/>
                <w:szCs w:val="20"/>
                <w:lang w:val="es-CO"/>
              </w:rPr>
              <w:t>La institución fortaleció el seguimiento a las situaciones relacionadas con trato digno y humanización mediante el Comité de Ética Hospitalaria, instancia que sesiona ordinariamente el segundo jueves de cada mes y cuenta con participación de los procesos asistenciales, Relación con el Ciudadano, Humanización, Enfoque Diferencial, Trabajo Social y representantes de la Asociación de Usuarios. En cada sesión se revisan las PQRSF registradas, la trazabilidad de la respuesta, los descargos o aclaraciones correspondientes y las acciones adoptadas por los líderes de proceso. Cuando se identifican conductas reiterativas, se formulan planes de mejora individual con seguimiento por Talento Humano; en casos de mayor gravedad, se activan las rutas administrativas y contractuales aplicables conforme a la normatividad vigente y al debido proceso.</w:t>
            </w:r>
          </w:p>
        </w:tc>
      </w:tr>
      <w:tr w:rsidRPr="00846AFF" w:rsidR="002E3FA8" w:rsidTr="007E13E5" w14:paraId="092A9587" w14:textId="77777777">
        <w:tc>
          <w:tcPr>
            <w:tcW w:w="1152" w:type="dxa"/>
            <w:vAlign w:val="center"/>
          </w:tcPr>
          <w:p w:rsidRPr="006D1556" w:rsidR="002E3FA8" w:rsidRDefault="002E3FA8" w14:paraId="0203D3B2" w14:textId="77777777">
            <w:pPr>
              <w:jc w:val="left"/>
              <w:rPr>
                <w:rFonts w:cs="Arial"/>
                <w:szCs w:val="20"/>
                <w:lang w:val="es-CO"/>
              </w:rPr>
            </w:pPr>
          </w:p>
        </w:tc>
        <w:tc>
          <w:tcPr>
            <w:tcW w:w="3456" w:type="dxa"/>
            <w:vAlign w:val="center"/>
          </w:tcPr>
          <w:p w:rsidRPr="006D1556" w:rsidR="002E3FA8" w:rsidP="007E13E5" w:rsidRDefault="005F28D9" w14:paraId="67DCF66E" w14:textId="77777777">
            <w:pPr>
              <w:rPr>
                <w:rFonts w:cs="Arial"/>
                <w:szCs w:val="20"/>
                <w:lang w:val="es-CO"/>
              </w:rPr>
            </w:pPr>
            <w:r w:rsidRPr="006D1556">
              <w:rPr>
                <w:rFonts w:cs="Arial"/>
                <w:szCs w:val="20"/>
                <w:lang w:val="es-CO"/>
              </w:rPr>
              <w:t>Laboratorio clínico: ¿Qué estrategias se ejecutaron durante 2025 para mejorar los tiempos de oportunidad y la atención en el servicio de laboratorio clínico?</w:t>
            </w:r>
          </w:p>
        </w:tc>
        <w:tc>
          <w:tcPr>
            <w:tcW w:w="5040" w:type="dxa"/>
            <w:vAlign w:val="center"/>
          </w:tcPr>
          <w:p w:rsidRPr="006D1556" w:rsidR="002E3FA8" w:rsidP="007E13E5" w:rsidRDefault="005F28D9" w14:paraId="22E6BE98" w14:textId="77777777">
            <w:pPr>
              <w:rPr>
                <w:rFonts w:cs="Arial"/>
                <w:szCs w:val="20"/>
                <w:lang w:val="es-CO"/>
              </w:rPr>
            </w:pPr>
            <w:r w:rsidRPr="006D1556">
              <w:rPr>
                <w:rFonts w:cs="Arial"/>
                <w:szCs w:val="20"/>
                <w:lang w:val="es-CO"/>
              </w:rPr>
              <w:t>Se optimizaron las rutas de procesamiento analítico y la toma de muestras, articulándolo con el Laboratorio de Biología Molecular. La mejora técnica y calidez del servicio se reflejó en un incremento neto de 62 menciones de felicitación por parte de los usuarios dentro del sistema Almera.</w:t>
            </w:r>
          </w:p>
        </w:tc>
      </w:tr>
      <w:tr w:rsidRPr="00846AFF" w:rsidR="002E3FA8" w:rsidTr="007E13E5" w14:paraId="07B8DE9A" w14:textId="77777777">
        <w:tc>
          <w:tcPr>
            <w:tcW w:w="1152" w:type="dxa"/>
            <w:vAlign w:val="center"/>
          </w:tcPr>
          <w:p w:rsidRPr="006D1556" w:rsidR="002E3FA8" w:rsidRDefault="002E3FA8" w14:paraId="41B71A62" w14:textId="77777777">
            <w:pPr>
              <w:jc w:val="left"/>
              <w:rPr>
                <w:rFonts w:cs="Arial"/>
                <w:szCs w:val="20"/>
                <w:lang w:val="es-CO"/>
              </w:rPr>
            </w:pPr>
          </w:p>
        </w:tc>
        <w:tc>
          <w:tcPr>
            <w:tcW w:w="3456" w:type="dxa"/>
            <w:vAlign w:val="center"/>
          </w:tcPr>
          <w:p w:rsidRPr="006D1556" w:rsidR="002E3FA8" w:rsidP="007E13E5" w:rsidRDefault="005F28D9" w14:paraId="287C003D" w14:textId="77777777">
            <w:pPr>
              <w:rPr>
                <w:rFonts w:cs="Arial"/>
                <w:szCs w:val="20"/>
                <w:lang w:val="es-CO"/>
              </w:rPr>
            </w:pPr>
            <w:r w:rsidRPr="006D1556">
              <w:rPr>
                <w:rFonts w:cs="Arial"/>
                <w:szCs w:val="20"/>
                <w:lang w:val="es-CO"/>
              </w:rPr>
              <w:t>Trámite de turnos: ¿Qué acciones o estrategias se implementaron en 2025 para mejorar la organización y disminuir las filas generadas en el acceso al sistema de turnos?</w:t>
            </w:r>
          </w:p>
        </w:tc>
        <w:tc>
          <w:tcPr>
            <w:tcW w:w="5040" w:type="dxa"/>
            <w:vAlign w:val="center"/>
          </w:tcPr>
          <w:p w:rsidRPr="006D1556" w:rsidR="002E3FA8" w:rsidP="007E13E5" w:rsidRDefault="005F28D9" w14:paraId="3821E772" w14:textId="77777777">
            <w:pPr>
              <w:rPr>
                <w:rFonts w:cs="Arial"/>
                <w:szCs w:val="20"/>
                <w:lang w:val="es-CO"/>
              </w:rPr>
            </w:pPr>
            <w:r w:rsidRPr="006D1556">
              <w:rPr>
                <w:rFonts w:cs="Arial"/>
                <w:szCs w:val="20"/>
                <w:lang w:val="es-CO"/>
              </w:rPr>
              <w:t>Frente a las inquietudes de la ciudadanía sobre el Trámite de Turnos y las filas presenciales, la institución implementó dos estrategias operativas clave: Turnero Digital: se instaló un sistema digital que realiza llamados automáticos en salas de espera y cuenta con parametrización de atención preferencial obligatoria para mujeres embarazadas, adultos mayores, personas con niños en brazos y personas con discapacidad. Facturación Exclusiva de Laboratorio: para descongestionar las ventanillas, se asignó personal exclusivo para facturar el servicio de laboratorio en las IPS núcleo, operando en un horario extendido continuo de 6:30 a.m. a 8:00 a.m.</w:t>
            </w:r>
          </w:p>
        </w:tc>
      </w:tr>
      <w:tr w:rsidRPr="00846AFF" w:rsidR="002E3FA8" w:rsidTr="007E13E5" w14:paraId="4F1F7051" w14:textId="77777777">
        <w:tc>
          <w:tcPr>
            <w:tcW w:w="1152" w:type="dxa"/>
            <w:vAlign w:val="center"/>
          </w:tcPr>
          <w:p w:rsidRPr="006D1556" w:rsidR="002E3FA8" w:rsidRDefault="002E3FA8" w14:paraId="5A4079C8" w14:textId="77777777">
            <w:pPr>
              <w:jc w:val="left"/>
              <w:rPr>
                <w:rFonts w:cs="Arial"/>
                <w:szCs w:val="20"/>
                <w:lang w:val="es-CO"/>
              </w:rPr>
            </w:pPr>
          </w:p>
        </w:tc>
        <w:tc>
          <w:tcPr>
            <w:tcW w:w="3456" w:type="dxa"/>
            <w:vAlign w:val="center"/>
          </w:tcPr>
          <w:p w:rsidRPr="006D1556" w:rsidR="002E3FA8" w:rsidP="007E13E5" w:rsidRDefault="005F28D9" w14:paraId="768CE490" w14:textId="77777777">
            <w:pPr>
              <w:rPr>
                <w:rFonts w:cs="Arial"/>
                <w:szCs w:val="20"/>
                <w:lang w:val="es-CO"/>
              </w:rPr>
            </w:pPr>
            <w:r w:rsidRPr="006D1556">
              <w:rPr>
                <w:rFonts w:cs="Arial"/>
                <w:szCs w:val="20"/>
                <w:lang w:val="es-CO"/>
              </w:rPr>
              <w:t>Talento humano: ¿Cuáles fueron las causas de la frecuente rotación de personal en algunos servicios durante 2025 y qué impacto tuvo esto en la continuidad y calidad de la atención?</w:t>
            </w:r>
          </w:p>
        </w:tc>
        <w:tc>
          <w:tcPr>
            <w:tcW w:w="5040" w:type="dxa"/>
            <w:vAlign w:val="center"/>
          </w:tcPr>
          <w:p w:rsidRPr="006D1556" w:rsidR="002E3FA8" w:rsidP="007E13E5" w:rsidRDefault="005F28D9" w14:paraId="162972A2" w14:textId="77777777">
            <w:pPr>
              <w:rPr>
                <w:rFonts w:cs="Arial"/>
                <w:szCs w:val="20"/>
                <w:lang w:val="es-CO"/>
              </w:rPr>
            </w:pPr>
            <w:r w:rsidRPr="006D1556">
              <w:rPr>
                <w:rFonts w:cs="Arial"/>
                <w:szCs w:val="20"/>
                <w:lang w:val="es-CO"/>
              </w:rPr>
              <w:t>La rotación se asoció a las dinámicas del mercado de contratación de servicios personales indirectos, que representan el 47% del gasto total comprometido. Para asegurar la calidad de la atención sin cortes asistenciales, se fortalecieron los convenios docente-asistenciales con la Universidad Libre, ICESI y Universidad del Valle, expandiendo un 64% las consultas de Medicina Familiar y manteniendo la satisfacción global en un 98,12%.</w:t>
            </w:r>
          </w:p>
        </w:tc>
      </w:tr>
      <w:tr w:rsidRPr="00846AFF" w:rsidR="002E3FA8" w:rsidTr="007E13E5" w14:paraId="13599E51" w14:textId="77777777">
        <w:tc>
          <w:tcPr>
            <w:tcW w:w="1152" w:type="dxa"/>
            <w:vAlign w:val="center"/>
          </w:tcPr>
          <w:p w:rsidRPr="006D1556" w:rsidR="002E3FA8" w:rsidRDefault="005F28D9" w14:paraId="0424A780" w14:textId="77777777">
            <w:pPr>
              <w:jc w:val="left"/>
              <w:rPr>
                <w:rFonts w:cs="Arial"/>
                <w:szCs w:val="20"/>
              </w:rPr>
            </w:pPr>
            <w:proofErr w:type="spellStart"/>
            <w:r w:rsidRPr="006D1556">
              <w:rPr>
                <w:rFonts w:cs="Arial"/>
                <w:szCs w:val="20"/>
              </w:rPr>
              <w:t>Comuna</w:t>
            </w:r>
            <w:proofErr w:type="spellEnd"/>
            <w:r w:rsidRPr="006D1556">
              <w:rPr>
                <w:rFonts w:cs="Arial"/>
                <w:szCs w:val="20"/>
              </w:rPr>
              <w:t xml:space="preserve"> 10</w:t>
            </w:r>
          </w:p>
        </w:tc>
        <w:tc>
          <w:tcPr>
            <w:tcW w:w="3456" w:type="dxa"/>
            <w:vAlign w:val="center"/>
          </w:tcPr>
          <w:p w:rsidRPr="006D1556" w:rsidR="002E3FA8" w:rsidP="007E13E5" w:rsidRDefault="005F28D9" w14:paraId="0D3A8556" w14:textId="77777777">
            <w:pPr>
              <w:rPr>
                <w:rFonts w:cs="Arial"/>
                <w:szCs w:val="20"/>
                <w:lang w:val="es-CO"/>
              </w:rPr>
            </w:pPr>
            <w:r w:rsidRPr="006D1556">
              <w:rPr>
                <w:rFonts w:cs="Arial"/>
                <w:szCs w:val="20"/>
                <w:lang w:val="es-CO"/>
              </w:rPr>
              <w:t>Sostenibilidad y Aseguradores: ¿Cómo se respondió financieramente a la atención de los usuarios de Emssanar y Nueva EPS, y ante el aumento por la contratación de SOS y Sanitas en 2025?</w:t>
            </w:r>
          </w:p>
        </w:tc>
        <w:tc>
          <w:tcPr>
            <w:tcW w:w="5040" w:type="dxa"/>
            <w:vAlign w:val="center"/>
          </w:tcPr>
          <w:p w:rsidRPr="006D1556" w:rsidR="002E3FA8" w:rsidP="007E13E5" w:rsidRDefault="005F28D9" w14:paraId="1919F1B0" w14:textId="77777777">
            <w:pPr>
              <w:rPr>
                <w:rFonts w:cs="Arial"/>
                <w:szCs w:val="20"/>
                <w:lang w:val="es-CO"/>
              </w:rPr>
            </w:pPr>
            <w:r w:rsidRPr="006D1556">
              <w:rPr>
                <w:rFonts w:cs="Arial"/>
                <w:szCs w:val="20"/>
                <w:lang w:val="es-CO"/>
              </w:rPr>
              <w:t>La entidad mitigó la presión sectorial mediante disciplina presupuestal, logrando un equilibrio presupuestal con recaudo.</w:t>
            </w:r>
          </w:p>
        </w:tc>
      </w:tr>
      <w:tr w:rsidRPr="00846AFF" w:rsidR="002E3FA8" w:rsidTr="007E13E5" w14:paraId="74B63CC6" w14:textId="77777777">
        <w:tc>
          <w:tcPr>
            <w:tcW w:w="1152" w:type="dxa"/>
            <w:vAlign w:val="center"/>
          </w:tcPr>
          <w:p w:rsidRPr="006D1556" w:rsidR="002E3FA8" w:rsidRDefault="002E3FA8" w14:paraId="701B57CC" w14:textId="77777777">
            <w:pPr>
              <w:jc w:val="left"/>
              <w:rPr>
                <w:rFonts w:cs="Arial"/>
                <w:szCs w:val="20"/>
                <w:lang w:val="es-CO"/>
              </w:rPr>
            </w:pPr>
          </w:p>
        </w:tc>
        <w:tc>
          <w:tcPr>
            <w:tcW w:w="3456" w:type="dxa"/>
            <w:vAlign w:val="center"/>
          </w:tcPr>
          <w:p w:rsidRPr="006D1556" w:rsidR="002E3FA8" w:rsidP="007E13E5" w:rsidRDefault="005F28D9" w14:paraId="64042D29" w14:textId="77777777">
            <w:pPr>
              <w:rPr>
                <w:rFonts w:cs="Arial"/>
                <w:szCs w:val="20"/>
                <w:lang w:val="es-CO"/>
              </w:rPr>
            </w:pPr>
            <w:r w:rsidRPr="006D1556">
              <w:rPr>
                <w:rFonts w:cs="Arial"/>
                <w:szCs w:val="20"/>
                <w:lang w:val="es-CO"/>
              </w:rPr>
              <w:t>Cartera y Finanzas: ¿Cuáles fueron las EAPB que presentaron mora en la cartera al cierre de 2025 y qué gastos de personal indirecto comprometieron los recursos?</w:t>
            </w:r>
          </w:p>
        </w:tc>
        <w:tc>
          <w:tcPr>
            <w:tcW w:w="5040" w:type="dxa"/>
            <w:vAlign w:val="center"/>
          </w:tcPr>
          <w:p w:rsidRPr="006D1556" w:rsidR="002E3FA8" w:rsidP="007E13E5" w:rsidRDefault="005F28D9" w14:paraId="0F456812" w14:textId="77777777">
            <w:pPr>
              <w:rPr>
                <w:rFonts w:cs="Arial"/>
                <w:szCs w:val="20"/>
                <w:lang w:val="es-CO"/>
              </w:rPr>
            </w:pPr>
            <w:r w:rsidRPr="006D1556">
              <w:rPr>
                <w:rFonts w:cs="Arial"/>
                <w:szCs w:val="20"/>
                <w:lang w:val="es-CO"/>
              </w:rPr>
              <w:t>Al cierre de 2025, la cartera radicada total ascendió a $26.580.384.769, concentrándose el mayor impacto en el Régimen Subsidiado ($15.819.583.993, un aumento del 164% por intervenciones a EPS) y Régimen Contributivo ($4.373.530.059). Paralelamente, los servicios personales indirectos representan el 47% del gasto total comprometido ($41.463.159.470). Para recuperar estos recursos, se ejecutaron circularizaciones, cruces de saldos, acuerdos de pago y mesas de conciliación.</w:t>
            </w:r>
          </w:p>
        </w:tc>
      </w:tr>
      <w:tr w:rsidRPr="00846AFF" w:rsidR="002E3FA8" w:rsidTr="007E13E5" w14:paraId="601FA18B" w14:textId="77777777">
        <w:tc>
          <w:tcPr>
            <w:tcW w:w="1152" w:type="dxa"/>
            <w:vAlign w:val="center"/>
          </w:tcPr>
          <w:p w:rsidRPr="006D1556" w:rsidR="002E3FA8" w:rsidRDefault="002E3FA8" w14:paraId="0E4667A7" w14:textId="77777777">
            <w:pPr>
              <w:jc w:val="left"/>
              <w:rPr>
                <w:rFonts w:cs="Arial"/>
                <w:szCs w:val="20"/>
                <w:lang w:val="es-CO"/>
              </w:rPr>
            </w:pPr>
          </w:p>
        </w:tc>
        <w:tc>
          <w:tcPr>
            <w:tcW w:w="3456" w:type="dxa"/>
            <w:vAlign w:val="center"/>
          </w:tcPr>
          <w:p w:rsidRPr="006D1556" w:rsidR="002E3FA8" w:rsidP="007E13E5" w:rsidRDefault="005F28D9" w14:paraId="3E031E8D" w14:textId="77777777">
            <w:pPr>
              <w:rPr>
                <w:rFonts w:cs="Arial"/>
                <w:szCs w:val="20"/>
                <w:lang w:val="es-CO"/>
              </w:rPr>
            </w:pPr>
            <w:r w:rsidRPr="006D1556">
              <w:rPr>
                <w:rFonts w:cs="Arial"/>
                <w:szCs w:val="20"/>
                <w:lang w:val="es-CO"/>
              </w:rPr>
              <w:t>Calidad y Continuidad: ¿Qué estrategias se implementaron para el fortalecimiento de la calidad, la continuidad de las EAPB y proyectos de innovación social durante 2025?</w:t>
            </w:r>
          </w:p>
        </w:tc>
        <w:tc>
          <w:tcPr>
            <w:tcW w:w="5040" w:type="dxa"/>
            <w:vAlign w:val="center"/>
          </w:tcPr>
          <w:p w:rsidRPr="006D1556" w:rsidR="002E3FA8" w:rsidP="007E13E5" w:rsidRDefault="005F28D9" w14:paraId="18B7D97F" w14:textId="77777777">
            <w:pPr>
              <w:rPr>
                <w:rFonts w:cs="Arial"/>
                <w:szCs w:val="20"/>
                <w:lang w:val="es-CO"/>
              </w:rPr>
            </w:pPr>
            <w:r w:rsidRPr="006D1556">
              <w:rPr>
                <w:rFonts w:cs="Arial"/>
                <w:szCs w:val="20"/>
                <w:lang w:val="es-CO"/>
              </w:rPr>
              <w:t xml:space="preserve">La calidad se centró en mantener la Acreditación en Salud (calificación de 3,55 por ICONTEC). La continuidad se blindó estructurando las cohortes por ciclo de vida (Resolución 3280). En innovación social, se expandió la estrategia CAMAD en el centro penitenciario Villahermosa (mención de honor del </w:t>
            </w:r>
            <w:proofErr w:type="spellStart"/>
            <w:r w:rsidRPr="006D1556">
              <w:rPr>
                <w:rFonts w:cs="Arial"/>
                <w:szCs w:val="20"/>
                <w:lang w:val="es-CO"/>
              </w:rPr>
              <w:t>MinSalud</w:t>
            </w:r>
            <w:proofErr w:type="spellEnd"/>
            <w:r w:rsidRPr="006D1556">
              <w:rPr>
                <w:rFonts w:cs="Arial"/>
                <w:szCs w:val="20"/>
                <w:lang w:val="es-CO"/>
              </w:rPr>
              <w:t>), el programa Por Ti Mujer (premiado por la OEA) y el modelo de Paciente, Familiar y Cuidador Experto.</w:t>
            </w:r>
          </w:p>
        </w:tc>
      </w:tr>
      <w:tr w:rsidRPr="00846AFF" w:rsidR="002E3FA8" w:rsidTr="007E13E5" w14:paraId="4166AB6B" w14:textId="77777777">
        <w:tc>
          <w:tcPr>
            <w:tcW w:w="1152" w:type="dxa"/>
            <w:vAlign w:val="center"/>
          </w:tcPr>
          <w:p w:rsidRPr="006D1556" w:rsidR="002E3FA8" w:rsidRDefault="002E3FA8" w14:paraId="38854B7B" w14:textId="77777777">
            <w:pPr>
              <w:jc w:val="left"/>
              <w:rPr>
                <w:rFonts w:cs="Arial"/>
                <w:szCs w:val="20"/>
                <w:lang w:val="es-CO"/>
              </w:rPr>
            </w:pPr>
          </w:p>
        </w:tc>
        <w:tc>
          <w:tcPr>
            <w:tcW w:w="3456" w:type="dxa"/>
            <w:vAlign w:val="center"/>
          </w:tcPr>
          <w:p w:rsidRPr="006D1556" w:rsidR="002E3FA8" w:rsidP="007E13E5" w:rsidRDefault="005F28D9" w14:paraId="6CAD7C6E" w14:textId="77777777">
            <w:pPr>
              <w:rPr>
                <w:rFonts w:cs="Arial"/>
                <w:szCs w:val="20"/>
                <w:lang w:val="es-CO"/>
              </w:rPr>
            </w:pPr>
            <w:r w:rsidRPr="006D1556">
              <w:rPr>
                <w:rFonts w:cs="Arial"/>
                <w:szCs w:val="20"/>
                <w:lang w:val="es-CO"/>
              </w:rPr>
              <w:t>Prótesis dentales: ¿Qué tan rentable fue el servicio de prótesis dentales para la ESE en el año 2025?</w:t>
            </w:r>
          </w:p>
        </w:tc>
        <w:tc>
          <w:tcPr>
            <w:tcW w:w="5040" w:type="dxa"/>
            <w:vAlign w:val="center"/>
          </w:tcPr>
          <w:p w:rsidRPr="006D1556" w:rsidR="002E3FA8" w:rsidP="007E13E5" w:rsidRDefault="005F28D9" w14:paraId="568B847E" w14:textId="77777777">
            <w:pPr>
              <w:rPr>
                <w:rFonts w:cs="Arial"/>
                <w:szCs w:val="20"/>
                <w:lang w:val="es-CO"/>
              </w:rPr>
            </w:pPr>
            <w:r w:rsidRPr="006D1556">
              <w:rPr>
                <w:rFonts w:cs="Arial"/>
                <w:szCs w:val="20"/>
                <w:lang w:val="es-CO"/>
              </w:rPr>
              <w:t>El servicio de odontología opera bajo un esquema de rentabilidad social combinada con contención financiera, debido a que las contrataciones por nota técnica con las EAPB para actividades de salud bucal se definieron por debajo de las necesidades reales. La Red implementó estrictos mecanismos de control de ejecución para evitar desbalances financieros contractuales, priorizando la asignación de citas, tratamientos terminados y actividades preventivas en población de alto riesgo.</w:t>
            </w:r>
          </w:p>
        </w:tc>
      </w:tr>
      <w:tr w:rsidRPr="00846AFF" w:rsidR="002E3FA8" w:rsidTr="007E13E5" w14:paraId="5CC2BC35" w14:textId="77777777">
        <w:tc>
          <w:tcPr>
            <w:tcW w:w="1152" w:type="dxa"/>
            <w:vAlign w:val="center"/>
          </w:tcPr>
          <w:p w:rsidRPr="006D1556" w:rsidR="002E3FA8" w:rsidRDefault="002E3FA8" w14:paraId="1ACAF2F4" w14:textId="77777777">
            <w:pPr>
              <w:jc w:val="left"/>
              <w:rPr>
                <w:rFonts w:cs="Arial"/>
                <w:szCs w:val="20"/>
                <w:lang w:val="es-CO"/>
              </w:rPr>
            </w:pPr>
          </w:p>
        </w:tc>
        <w:tc>
          <w:tcPr>
            <w:tcW w:w="3456" w:type="dxa"/>
            <w:vAlign w:val="center"/>
          </w:tcPr>
          <w:p w:rsidRPr="006D1556" w:rsidR="002E3FA8" w:rsidP="007E13E5" w:rsidRDefault="005F28D9" w14:paraId="76D72E43" w14:textId="77777777">
            <w:pPr>
              <w:rPr>
                <w:rFonts w:cs="Arial"/>
                <w:szCs w:val="20"/>
                <w:lang w:val="es-CO"/>
              </w:rPr>
            </w:pPr>
            <w:r w:rsidRPr="006D1556">
              <w:rPr>
                <w:rFonts w:cs="Arial"/>
                <w:szCs w:val="20"/>
                <w:lang w:val="es-CO"/>
              </w:rPr>
              <w:t>Defensa jurídica: ¿Cuáles fueron los litigios y demandas vigentes que enfrentó la ESE Centro durante el año 2025?</w:t>
            </w:r>
          </w:p>
        </w:tc>
        <w:tc>
          <w:tcPr>
            <w:tcW w:w="5040" w:type="dxa"/>
            <w:vAlign w:val="center"/>
          </w:tcPr>
          <w:p w:rsidRPr="006D1556" w:rsidR="002E3FA8" w:rsidP="007E13E5" w:rsidRDefault="005F28D9" w14:paraId="3816C650" w14:textId="77777777">
            <w:pPr>
              <w:rPr>
                <w:rFonts w:cs="Arial"/>
                <w:szCs w:val="20"/>
                <w:lang w:val="es-CO"/>
              </w:rPr>
            </w:pPr>
            <w:r w:rsidRPr="006D1556">
              <w:rPr>
                <w:rFonts w:cs="Arial"/>
                <w:szCs w:val="20"/>
                <w:lang w:val="es-CO"/>
              </w:rPr>
              <w:t>Al cierre de la vigencia fiscal del 31 de diciembre de 2025, el balance contable de la institución registró en su cuenta de pasivos un saldo consolidado de $3.060.643.018 destinado específicamente al rubro de provisiones para litigios y demandas, lo que representa un incremento del 23,1% respecto al año anterior para cubrir eventuales contingencias judiciales de la Red.</w:t>
            </w:r>
          </w:p>
        </w:tc>
      </w:tr>
      <w:tr w:rsidRPr="00846AFF" w:rsidR="002E3FA8" w:rsidTr="007E13E5" w14:paraId="700E697B" w14:textId="77777777">
        <w:tc>
          <w:tcPr>
            <w:tcW w:w="1152" w:type="dxa"/>
            <w:vAlign w:val="center"/>
          </w:tcPr>
          <w:p w:rsidRPr="006D1556" w:rsidR="002E3FA8" w:rsidRDefault="005F28D9" w14:paraId="35BB3298" w14:textId="77777777">
            <w:pPr>
              <w:jc w:val="left"/>
              <w:rPr>
                <w:rFonts w:cs="Arial"/>
                <w:szCs w:val="20"/>
              </w:rPr>
            </w:pPr>
            <w:proofErr w:type="spellStart"/>
            <w:r w:rsidRPr="006D1556">
              <w:rPr>
                <w:rFonts w:cs="Arial"/>
                <w:szCs w:val="20"/>
              </w:rPr>
              <w:t>Comuna</w:t>
            </w:r>
            <w:proofErr w:type="spellEnd"/>
            <w:r w:rsidRPr="006D1556">
              <w:rPr>
                <w:rFonts w:cs="Arial"/>
                <w:szCs w:val="20"/>
              </w:rPr>
              <w:t xml:space="preserve"> 12</w:t>
            </w:r>
          </w:p>
        </w:tc>
        <w:tc>
          <w:tcPr>
            <w:tcW w:w="3456" w:type="dxa"/>
            <w:vAlign w:val="center"/>
          </w:tcPr>
          <w:p w:rsidRPr="006D1556" w:rsidR="002E3FA8" w:rsidP="007E13E5" w:rsidRDefault="005F28D9" w14:paraId="6990B5ED" w14:textId="77777777">
            <w:pPr>
              <w:rPr>
                <w:rFonts w:cs="Arial"/>
                <w:szCs w:val="20"/>
                <w:lang w:val="es-CO"/>
              </w:rPr>
            </w:pPr>
            <w:r w:rsidRPr="006D1556">
              <w:rPr>
                <w:rFonts w:cs="Arial"/>
                <w:szCs w:val="20"/>
                <w:lang w:val="es-CO"/>
              </w:rPr>
              <w:t>Call Center y Comunicación: ¿Qué estrategias se ejecutaron en 2025 para mejorar la atención/asignación de citas por Call Center y garantizar canales de comunicación claros e inclusivos?</w:t>
            </w:r>
          </w:p>
        </w:tc>
        <w:tc>
          <w:tcPr>
            <w:tcW w:w="5040" w:type="dxa"/>
            <w:vAlign w:val="center"/>
          </w:tcPr>
          <w:p w:rsidRPr="006D1556" w:rsidR="002E3FA8" w:rsidP="007E13E5" w:rsidRDefault="005F28D9" w14:paraId="6FA03497" w14:textId="77777777">
            <w:pPr>
              <w:rPr>
                <w:rFonts w:cs="Arial"/>
                <w:szCs w:val="20"/>
                <w:lang w:val="es-CO"/>
              </w:rPr>
            </w:pPr>
            <w:r w:rsidRPr="006D1556">
              <w:rPr>
                <w:rFonts w:cs="Arial"/>
                <w:szCs w:val="20"/>
                <w:lang w:val="es-CO"/>
              </w:rPr>
              <w:t>Para optimizar la asignación de citas y el acceso oportuno, la Red integró el monitoreo de agendas a través de la plataforma virtual SERVINTE. Asimismo, se implementó el uso de mensajería de texto directa para la confirmación de citas y la gestión remota de cohortes.</w:t>
            </w:r>
          </w:p>
        </w:tc>
      </w:tr>
      <w:tr w:rsidRPr="00846AFF" w:rsidR="002E3FA8" w:rsidTr="007E13E5" w14:paraId="6F77FB1D" w14:textId="77777777">
        <w:tc>
          <w:tcPr>
            <w:tcW w:w="1152" w:type="dxa"/>
            <w:vAlign w:val="center"/>
          </w:tcPr>
          <w:p w:rsidRPr="006D1556" w:rsidR="002E3FA8" w:rsidRDefault="002E3FA8" w14:paraId="73F191C9" w14:textId="77777777">
            <w:pPr>
              <w:jc w:val="left"/>
              <w:rPr>
                <w:rFonts w:cs="Arial"/>
                <w:szCs w:val="20"/>
                <w:lang w:val="es-CO"/>
              </w:rPr>
            </w:pPr>
          </w:p>
        </w:tc>
        <w:tc>
          <w:tcPr>
            <w:tcW w:w="3456" w:type="dxa"/>
            <w:vAlign w:val="center"/>
          </w:tcPr>
          <w:p w:rsidRPr="006D1556" w:rsidR="002E3FA8" w:rsidP="007E13E5" w:rsidRDefault="005F28D9" w14:paraId="1572C0D6" w14:textId="77777777">
            <w:pPr>
              <w:rPr>
                <w:rFonts w:cs="Arial"/>
                <w:szCs w:val="20"/>
                <w:lang w:val="es-CO"/>
              </w:rPr>
            </w:pPr>
            <w:r w:rsidRPr="006D1556">
              <w:rPr>
                <w:rFonts w:cs="Arial"/>
                <w:szCs w:val="20"/>
                <w:lang w:val="es-CO"/>
              </w:rPr>
              <w:t>Servicio de laboratorio (Orientación): ¿Qué acciones se tomaron en 2025 para que se brindara una orientación clara al paciente a la hora de tomar muestras en el servicio de laboratorio?</w:t>
            </w:r>
          </w:p>
        </w:tc>
        <w:tc>
          <w:tcPr>
            <w:tcW w:w="5040" w:type="dxa"/>
            <w:vAlign w:val="center"/>
          </w:tcPr>
          <w:p w:rsidRPr="006D1556" w:rsidR="002E3FA8" w:rsidP="007E13E5" w:rsidRDefault="005F28D9" w14:paraId="6E5C8C1C" w14:textId="77777777">
            <w:pPr>
              <w:rPr>
                <w:rFonts w:cs="Arial"/>
                <w:szCs w:val="20"/>
                <w:lang w:val="es-CO"/>
              </w:rPr>
            </w:pPr>
            <w:r w:rsidRPr="006D1556">
              <w:rPr>
                <w:rFonts w:cs="Arial"/>
                <w:szCs w:val="20"/>
                <w:lang w:val="es-CO"/>
              </w:rPr>
              <w:t>Se estandarizaron los protocolos de atención en ventanilla y toma de muestras, capacitándose al personal administrativo y asistencial de toma de muestras. Adicionalmente, se fortaleció la inducción a la demanda y la articulación interna de las rutas de Promoción y Mantenimiento de la Salud (como el programa Por Ti Mujer), permitiendo guiar al usuario desde la ordenación médica hasta la entrega de resultados, elevando el nivel de satisfacción en este servicio.</w:t>
            </w:r>
          </w:p>
        </w:tc>
      </w:tr>
    </w:tbl>
    <w:p w:rsidR="004C22D0" w:rsidP="10C93EC1" w:rsidRDefault="004C22D0" w14:paraId="2DA20133" w14:textId="77777777">
      <w:pPr>
        <w:rPr>
          <w:b/>
          <w:bCs/>
          <w:i/>
          <w:iCs/>
          <w:color w:val="7F7F7F" w:themeColor="text1" w:themeTint="80"/>
          <w:kern w:val="2"/>
          <w:sz w:val="18"/>
          <w:szCs w:val="18"/>
          <w:lang w:val="es-CO" w:eastAsia="es-CO"/>
          <w14:ligatures w14:val="standardContextual"/>
        </w:rPr>
      </w:pPr>
      <w:r w:rsidRPr="10C93EC1">
        <w:rPr>
          <w:b/>
          <w:bCs/>
          <w:i/>
          <w:iCs/>
          <w:color w:val="7F7F7F" w:themeColor="text1" w:themeTint="80"/>
          <w:sz w:val="18"/>
          <w:szCs w:val="18"/>
          <w:lang w:val="es-CO"/>
        </w:rPr>
        <w:t>Fuente: Preguntas formuladas por asociaciones de usuarios y respuestas técnicas consolidadas por la Red de Salud del Centro E.S.E., Audiencia Pública de Rendición de Cuentas – Vigencia 2025.</w:t>
      </w:r>
    </w:p>
    <w:p w:rsidR="007E13E5" w:rsidRDefault="007E13E5" w14:paraId="7A1DEAA2" w14:textId="77777777">
      <w:pPr>
        <w:pBdr>
          <w:bottom w:val="single" w:color="2E5496" w:sz="6" w:space="2"/>
        </w:pBdr>
        <w:spacing w:before="200"/>
        <w:jc w:val="left"/>
        <w:rPr>
          <w:rFonts w:cs="Arial"/>
          <w:b/>
          <w:color w:val="2E5496"/>
          <w:szCs w:val="20"/>
          <w:lang w:val="es-CO"/>
        </w:rPr>
      </w:pPr>
    </w:p>
    <w:p w:rsidRPr="006D1556" w:rsidR="002E3FA8" w:rsidRDefault="005F28D9" w14:paraId="68E98BEE" w14:textId="65E76BC2">
      <w:pPr>
        <w:pBdr>
          <w:bottom w:val="single" w:color="2E5496" w:sz="6" w:space="2"/>
        </w:pBdr>
        <w:spacing w:before="200"/>
        <w:jc w:val="left"/>
        <w:rPr>
          <w:rFonts w:cs="Arial"/>
          <w:szCs w:val="20"/>
          <w:lang w:val="es-CO"/>
        </w:rPr>
      </w:pPr>
      <w:r w:rsidRPr="006D1556">
        <w:rPr>
          <w:rFonts w:cs="Arial"/>
          <w:b/>
          <w:color w:val="2E5496"/>
          <w:szCs w:val="20"/>
          <w:lang w:val="es-CO"/>
        </w:rPr>
        <w:t>7. EVALUACIÓN DE SATISFACCIÓN CIUDADANA</w:t>
      </w:r>
    </w:p>
    <w:p w:rsidRPr="006D1556" w:rsidR="002E3FA8" w:rsidRDefault="005F28D9" w14:paraId="62AA282A" w14:textId="77777777">
      <w:pPr>
        <w:rPr>
          <w:rFonts w:cs="Arial"/>
          <w:szCs w:val="20"/>
          <w:lang w:val="es-CO"/>
        </w:rPr>
      </w:pPr>
      <w:r w:rsidRPr="006D1556">
        <w:rPr>
          <w:rFonts w:cs="Arial"/>
          <w:szCs w:val="20"/>
          <w:lang w:val="es-CO"/>
        </w:rPr>
        <w:t>Al finalizar el evento se aplicó la encuesta de satisfacción ciudadana mediante código QR y formato físico, conforme a lo establecido en la estrategia de rendición de cuentas.</w:t>
      </w:r>
    </w:p>
    <w:p w:rsidRPr="006D1556" w:rsidR="002E3FA8" w:rsidRDefault="005F28D9" w14:paraId="34D3B304" w14:textId="77777777">
      <w:pPr>
        <w:spacing w:after="60"/>
        <w:rPr>
          <w:rFonts w:cs="Arial"/>
          <w:szCs w:val="20"/>
          <w:lang w:val="es-CO"/>
        </w:rPr>
      </w:pPr>
      <w:r w:rsidRPr="006D1556">
        <w:rPr>
          <w:rFonts w:cs="Arial"/>
          <w:b/>
          <w:szCs w:val="20"/>
          <w:lang w:val="es-CO"/>
        </w:rPr>
        <w:t>Total encuestas aplicadas: 32.</w:t>
      </w:r>
    </w:p>
    <w:p w:rsidRPr="006D1556" w:rsidR="002E3FA8" w:rsidP="10C93EC1" w:rsidRDefault="001A3CEC" w14:paraId="4C4695A5" w14:textId="77777777">
      <w:pPr>
        <w:rPr>
          <w:rFonts w:cs="Arial"/>
          <w:lang w:val="es-CO"/>
        </w:rPr>
      </w:pPr>
      <w:r w:rsidRPr="10C93EC1">
        <w:rPr>
          <w:rFonts w:cs="Arial"/>
          <w:b/>
          <w:bCs/>
          <w:lang w:val="es-CO"/>
        </w:rPr>
        <w:t>Análisis:</w:t>
      </w:r>
      <w:r w:rsidRPr="10C93EC1">
        <w:rPr>
          <w:rFonts w:cs="Arial"/>
          <w:lang w:val="es-CO"/>
        </w:rPr>
        <w:t xml:space="preserve"> </w:t>
      </w:r>
      <w:r w:rsidRPr="10C93EC1" w:rsidR="00C32D5F">
        <w:rPr>
          <w:rFonts w:cs="Arial"/>
          <w:lang w:val="es-CO"/>
        </w:rPr>
        <w:t>En la audiencia pública</w:t>
      </w:r>
      <w:r w:rsidRPr="10C93EC1">
        <w:rPr>
          <w:rFonts w:cs="Arial"/>
          <w:lang w:val="es-CO"/>
        </w:rPr>
        <w:t xml:space="preserve"> de rendición de cuentas </w:t>
      </w:r>
      <w:r w:rsidRPr="10C93EC1" w:rsidR="00C32D5F">
        <w:rPr>
          <w:rFonts w:cs="Arial"/>
          <w:lang w:val="es-CO"/>
        </w:rPr>
        <w:t>de la vigencia</w:t>
      </w:r>
      <w:r w:rsidRPr="10C93EC1">
        <w:rPr>
          <w:rFonts w:cs="Arial"/>
          <w:lang w:val="es-CO"/>
        </w:rPr>
        <w:t xml:space="preserve"> 2025</w:t>
      </w:r>
      <w:r w:rsidRPr="10C93EC1" w:rsidR="00C32D5F">
        <w:rPr>
          <w:rFonts w:cs="Arial"/>
          <w:lang w:val="es-CO"/>
        </w:rPr>
        <w:t>, realizada el</w:t>
      </w:r>
      <w:r w:rsidRPr="10C93EC1">
        <w:rPr>
          <w:rFonts w:cs="Arial"/>
          <w:lang w:val="es-CO"/>
        </w:rPr>
        <w:t xml:space="preserve"> 27 de mayo de 2026, el índice de satisfacción ciudadana alcanzó </w:t>
      </w:r>
      <w:r w:rsidRPr="10C93EC1" w:rsidR="00C32D5F">
        <w:rPr>
          <w:rFonts w:cs="Arial"/>
          <w:lang w:val="es-CO"/>
        </w:rPr>
        <w:t>el</w:t>
      </w:r>
      <w:r w:rsidRPr="10C93EC1">
        <w:rPr>
          <w:rFonts w:cs="Arial"/>
          <w:lang w:val="es-CO"/>
        </w:rPr>
        <w:t xml:space="preserve"> 94,01</w:t>
      </w:r>
      <w:r w:rsidRPr="10C93EC1" w:rsidR="00C32D5F">
        <w:rPr>
          <w:rFonts w:cs="Arial"/>
          <w:lang w:val="es-CO"/>
        </w:rPr>
        <w:t>%. Este resultado</w:t>
      </w:r>
      <w:r w:rsidRPr="10C93EC1">
        <w:rPr>
          <w:rFonts w:cs="Arial"/>
          <w:lang w:val="es-CO"/>
        </w:rPr>
        <w:t xml:space="preserve"> representa un </w:t>
      </w:r>
      <w:r w:rsidRPr="10C93EC1" w:rsidR="00C32D5F">
        <w:rPr>
          <w:rFonts w:cs="Arial"/>
          <w:lang w:val="es-CO"/>
        </w:rPr>
        <w:t>incremento</w:t>
      </w:r>
      <w:r w:rsidRPr="10C93EC1">
        <w:rPr>
          <w:rFonts w:cs="Arial"/>
          <w:lang w:val="es-CO"/>
        </w:rPr>
        <w:t xml:space="preserve"> de 6,24 puntos porcentuales </w:t>
      </w:r>
      <w:r w:rsidRPr="10C93EC1" w:rsidR="00C32D5F">
        <w:rPr>
          <w:rFonts w:cs="Arial"/>
          <w:lang w:val="es-CO"/>
        </w:rPr>
        <w:t xml:space="preserve">frente al </w:t>
      </w:r>
      <w:r w:rsidRPr="10C93EC1">
        <w:rPr>
          <w:rFonts w:cs="Arial"/>
          <w:lang w:val="es-CO"/>
        </w:rPr>
        <w:t xml:space="preserve">87,77% registrado en </w:t>
      </w:r>
      <w:r w:rsidRPr="10C93EC1" w:rsidR="00C32D5F">
        <w:rPr>
          <w:rFonts w:cs="Arial"/>
          <w:lang w:val="es-CO"/>
        </w:rPr>
        <w:t>el ejercicio anterior, evidenciando una mejora en la percepción</w:t>
      </w:r>
      <w:r w:rsidRPr="10C93EC1">
        <w:rPr>
          <w:rFonts w:cs="Arial"/>
          <w:lang w:val="es-CO"/>
        </w:rPr>
        <w:t xml:space="preserve"> de </w:t>
      </w:r>
      <w:r w:rsidRPr="10C93EC1" w:rsidR="00C32D5F">
        <w:rPr>
          <w:rFonts w:cs="Arial"/>
          <w:lang w:val="es-CO"/>
        </w:rPr>
        <w:t>la ciudadanía sobre la claridad</w:t>
      </w:r>
      <w:r w:rsidRPr="10C93EC1">
        <w:rPr>
          <w:rFonts w:cs="Arial"/>
          <w:lang w:val="es-CO"/>
        </w:rPr>
        <w:t xml:space="preserve"> de </w:t>
      </w:r>
      <w:r w:rsidRPr="10C93EC1" w:rsidR="00C32D5F">
        <w:rPr>
          <w:rFonts w:cs="Arial"/>
          <w:lang w:val="es-CO"/>
        </w:rPr>
        <w:t>la información, la organización del evento y la respuesta institucional. Para el detalle de la medición, ver</w:t>
      </w:r>
      <w:r w:rsidRPr="10C93EC1">
        <w:rPr>
          <w:rFonts w:cs="Arial"/>
          <w:lang w:val="es-CO"/>
        </w:rPr>
        <w:t xml:space="preserve"> anexo</w:t>
      </w:r>
      <w:r w:rsidRPr="10C93EC1" w:rsidR="00C32D5F">
        <w:rPr>
          <w:rFonts w:cs="Arial"/>
          <w:lang w:val="es-CO"/>
        </w:rPr>
        <w:t xml:space="preserve"> de</w:t>
      </w:r>
      <w:r w:rsidRPr="10C93EC1">
        <w:rPr>
          <w:rFonts w:cs="Arial"/>
          <w:lang w:val="es-CO"/>
        </w:rPr>
        <w:t xml:space="preserve"> análisis de encuesta de satisfacción</w:t>
      </w:r>
      <w:r w:rsidRPr="10C93EC1" w:rsidR="00C32D5F">
        <w:rPr>
          <w:rFonts w:cs="Arial"/>
          <w:lang w:val="es-CO"/>
        </w:rPr>
        <w:t>.</w:t>
      </w:r>
    </w:p>
    <w:p w:rsidRPr="006D1556" w:rsidR="002E3FA8" w:rsidRDefault="005F28D9" w14:paraId="413497DE" w14:textId="77777777">
      <w:pPr>
        <w:spacing w:before="200"/>
        <w:jc w:val="left"/>
        <w:rPr>
          <w:rFonts w:cs="Arial"/>
          <w:szCs w:val="20"/>
          <w:lang w:val="es-CO"/>
        </w:rPr>
      </w:pPr>
      <w:r w:rsidRPr="006D1556">
        <w:rPr>
          <w:rFonts w:cs="Arial"/>
          <w:b/>
          <w:color w:val="2E5496"/>
          <w:szCs w:val="20"/>
          <w:lang w:val="es-CO"/>
        </w:rPr>
        <w:t>7.1. Caracterización sociodemográfica y enfoque diferencial de los participantes encuestados</w:t>
      </w:r>
    </w:p>
    <w:p w:rsidRPr="006D1556" w:rsidR="002E3FA8" w:rsidRDefault="005F28D9" w14:paraId="19B2E51C" w14:textId="77777777">
      <w:pPr>
        <w:rPr>
          <w:rFonts w:cs="Arial"/>
          <w:szCs w:val="20"/>
          <w:lang w:val="es-CO"/>
        </w:rPr>
      </w:pPr>
      <w:r w:rsidRPr="006D1556">
        <w:rPr>
          <w:rFonts w:cs="Arial"/>
          <w:szCs w:val="20"/>
          <w:lang w:val="es-CO"/>
        </w:rPr>
        <w:t>Con el fin de dar cumplimiento a los lineamientos del Modelo Integrado de Planeación y Gestión (MIPG) en materia de caracterización de usuarios y enfoque diferencial, se realizó la desagregación sociodemográfica de las 32 encuestas físicas aplicadas durante la Audiencia Pública de Rendición de Cuentas.</w:t>
      </w:r>
    </w:p>
    <w:p w:rsidRPr="006D1556" w:rsidR="002E3FA8" w:rsidP="10C93EC1" w:rsidRDefault="005F28D9" w14:paraId="7F0C2541" w14:textId="77777777">
      <w:pPr>
        <w:rPr>
          <w:rFonts w:cs="Arial"/>
          <w:lang w:val="es-CO"/>
        </w:rPr>
      </w:pPr>
      <w:r w:rsidRPr="10C93EC1">
        <w:rPr>
          <w:rFonts w:cs="Arial"/>
          <w:b/>
          <w:bCs/>
          <w:lang w:val="es-CO"/>
        </w:rPr>
        <w:t>Sexo:</w:t>
      </w:r>
      <w:r w:rsidRPr="10C93EC1">
        <w:rPr>
          <w:rFonts w:cs="Arial"/>
          <w:lang w:val="es-CO"/>
        </w:rPr>
        <w:t xml:space="preserve"> se evidencia una participación mayoritariamente femenina, cercana a las dos terceras partes del total de encuestados, frente a una participación masculina minoritaria, lo que constituye una oportunidad para fortalecer estrategias de convocatoria diferencial dirigidas a la población masculina en futuros ejercicios de rendición de cuentas.</w:t>
      </w:r>
    </w:p>
    <w:p w:rsidRPr="006D1556" w:rsidR="002E3FA8" w:rsidP="10C93EC1" w:rsidRDefault="005F28D9" w14:paraId="0FFE36C3" w14:textId="77777777">
      <w:pPr>
        <w:rPr>
          <w:rFonts w:cs="Arial"/>
          <w:lang w:val="es-CO"/>
        </w:rPr>
      </w:pPr>
      <w:r w:rsidRPr="10C93EC1">
        <w:rPr>
          <w:rFonts w:cs="Arial"/>
          <w:b/>
          <w:bCs/>
          <w:lang w:val="es-CO"/>
        </w:rPr>
        <w:t>Edad:</w:t>
      </w:r>
      <w:r w:rsidRPr="10C93EC1">
        <w:rPr>
          <w:rFonts w:cs="Arial"/>
          <w:lang w:val="es-CO"/>
        </w:rPr>
        <w:t xml:space="preserve"> la población encuestada se concentra mayoritariamente en el rango de adultez mayor (58 a 79 años), lo cual es consistente con el perfil habitual de asistencia a espacios de participación ciudadana en salud, y refuerza la pertinencia de mantener canales físicos y de lenguaje claro en la convocatoria, sin que ello excluya la ampliación de estrategias dirigidas a población joven y adulta.</w:t>
      </w:r>
    </w:p>
    <w:p w:rsidRPr="006D1556" w:rsidR="002E3FA8" w:rsidP="10C93EC1" w:rsidRDefault="005F28D9" w14:paraId="26878BF7" w14:textId="77777777">
      <w:pPr>
        <w:rPr>
          <w:rFonts w:cs="Arial"/>
          <w:lang w:val="es-CO"/>
        </w:rPr>
      </w:pPr>
      <w:r w:rsidRPr="10C93EC1">
        <w:rPr>
          <w:rFonts w:cs="Arial"/>
          <w:b/>
          <w:bCs/>
          <w:lang w:val="es-CO"/>
        </w:rPr>
        <w:t xml:space="preserve">Comuna de residencia: </w:t>
      </w:r>
      <w:r w:rsidRPr="10C93EC1">
        <w:rPr>
          <w:rFonts w:cs="Arial"/>
          <w:lang w:val="es-CO"/>
        </w:rPr>
        <w:t>las respuestas identificables se concentran en las comunas 8, 9, 10, 11 y 12, que corresponden exactamente al área de influencia geográfica de la Red de Salud del Centro E.S.E. Este hallazgo permite concluir que la estrategia de convocatoria tuvo una cobertura efectiva dentro del territorio de responsabilidad de la Red, sin evidencia de sesgos hacia comunas ajenas a su jurisdicción.</w:t>
      </w:r>
    </w:p>
    <w:p w:rsidRPr="006D1556" w:rsidR="002E3FA8" w:rsidP="10C93EC1" w:rsidRDefault="005F28D9" w14:paraId="39115441" w14:textId="77777777">
      <w:pPr>
        <w:rPr>
          <w:rFonts w:cs="Arial"/>
          <w:lang w:val="es-CO"/>
        </w:rPr>
      </w:pPr>
      <w:r w:rsidRPr="10C93EC1">
        <w:rPr>
          <w:rFonts w:cs="Arial"/>
          <w:b/>
          <w:bCs/>
          <w:lang w:val="es-CO"/>
        </w:rPr>
        <w:t>Cruce con satisfacción:</w:t>
      </w:r>
      <w:r w:rsidRPr="10C93EC1">
        <w:rPr>
          <w:rFonts w:cs="Arial"/>
          <w:lang w:val="es-CO"/>
        </w:rPr>
        <w:t xml:space="preserve"> al cruzar la percepción de satisfacción con las variables sociodemográficas, se observa que la valoración positiva de la gestión institucional (calificaciones de 4 y 5) es transversal a los distintos grupos de edad, sexo y comuna, sin identificarse un foco de insatisfacción localizado en un territorio o perfil poblacional específico.</w:t>
      </w:r>
    </w:p>
    <w:p w:rsidRPr="006D1556" w:rsidR="002E3FA8" w:rsidP="10C93EC1" w:rsidRDefault="005F28D9" w14:paraId="68DA0D10" w14:textId="77777777">
      <w:pPr>
        <w:rPr>
          <w:rFonts w:cs="Arial"/>
          <w:lang w:val="es-CO"/>
        </w:rPr>
      </w:pPr>
      <w:r w:rsidRPr="10C93EC1">
        <w:rPr>
          <w:rFonts w:cs="Arial"/>
          <w:b/>
          <w:bCs/>
          <w:lang w:val="es-CO"/>
        </w:rPr>
        <w:t>Hallazgo cualitativo:</w:t>
      </w:r>
      <w:r w:rsidRPr="10C93EC1">
        <w:rPr>
          <w:rFonts w:cs="Arial"/>
          <w:lang w:val="es-CO"/>
        </w:rPr>
        <w:t xml:space="preserve"> del análisis de las observaciones abiertas registradas en los formatos físicos, se identificaron dos (2) manifestaciones ciudadanas que, si bien no controvierten la valoración cuantitativa global, señalan oportunidades de mejora relacionadas con la actitud del talento humano en la atención al usuario. Estas observaciones se documentan como insumo para el fortalecimiento de la política de humanización y trato digno, en articulación con el Comité de Ética Hospitalaria y el proceso de Talento Humano.</w:t>
      </w:r>
    </w:p>
    <w:p w:rsidRPr="006D1556" w:rsidR="002E3FA8" w:rsidP="10C93EC1" w:rsidRDefault="001A3CEC" w14:paraId="5EDB5B37" w14:textId="5F7AE0E0">
      <w:pPr>
        <w:rPr>
          <w:rFonts w:cs="Arial"/>
          <w:i/>
          <w:iCs/>
          <w:lang w:val="es-CO"/>
        </w:rPr>
      </w:pPr>
      <w:r w:rsidRPr="10C93EC1">
        <w:rPr>
          <w:rFonts w:cs="Arial"/>
          <w:i/>
          <w:iCs/>
          <w:lang w:val="es-CO"/>
        </w:rPr>
        <w:t>Nota metodológica: la desagregación se elaboró a partir de la revisión manual de los 32 formatos físicos de encuesta de satisfacción diligenciados por los asistentes y posteriormente digitalizados</w:t>
      </w:r>
      <w:r w:rsidRPr="10C93EC1" w:rsidR="00BD1DC4">
        <w:rPr>
          <w:rFonts w:cs="Arial"/>
          <w:i/>
          <w:iCs/>
          <w:lang w:val="es-CO"/>
        </w:rPr>
        <w:t>.</w:t>
      </w:r>
      <w:r w:rsidRPr="10C93EC1">
        <w:rPr>
          <w:rFonts w:cs="Arial"/>
          <w:i/>
          <w:iCs/>
          <w:lang w:val="es-CO"/>
        </w:rPr>
        <w:t xml:space="preserve"> </w:t>
      </w:r>
    </w:p>
    <w:p w:rsidRPr="006D1556" w:rsidR="002E3FA8" w:rsidRDefault="005F28D9" w14:paraId="3A1553F2" w14:textId="77777777">
      <w:pPr>
        <w:pBdr>
          <w:bottom w:val="single" w:color="2E5496" w:sz="6" w:space="2"/>
        </w:pBdr>
        <w:spacing w:before="200"/>
        <w:jc w:val="left"/>
        <w:rPr>
          <w:rFonts w:cs="Arial"/>
          <w:szCs w:val="20"/>
          <w:lang w:val="es-CO"/>
        </w:rPr>
      </w:pPr>
      <w:r w:rsidRPr="006D1556">
        <w:rPr>
          <w:rFonts w:cs="Arial"/>
          <w:b/>
          <w:color w:val="2E5496"/>
          <w:szCs w:val="20"/>
          <w:lang w:val="es-CO"/>
        </w:rPr>
        <w:t>8. TRANSMISIÓN EN VIVO</w:t>
      </w:r>
    </w:p>
    <w:p w:rsidRPr="006D1556" w:rsidR="002E3FA8" w:rsidP="001A3CEC" w:rsidRDefault="001A3CEC" w14:paraId="6A12C472" w14:textId="77777777">
      <w:pPr>
        <w:rPr>
          <w:rFonts w:cs="Arial"/>
          <w:szCs w:val="20"/>
          <w:lang w:val="es-CO"/>
        </w:rPr>
      </w:pPr>
      <w:r w:rsidRPr="006D1556">
        <w:rPr>
          <w:rFonts w:cs="Arial"/>
          <w:szCs w:val="20"/>
          <w:lang w:val="es-CO"/>
        </w:rPr>
        <w:t xml:space="preserve">La </w:t>
      </w:r>
      <w:r w:rsidRPr="006D1556" w:rsidR="006D1556">
        <w:rPr>
          <w:rFonts w:cs="Arial"/>
          <w:szCs w:val="20"/>
          <w:lang w:val="es-CO"/>
        </w:rPr>
        <w:t>Audiencia Pública</w:t>
      </w:r>
      <w:r w:rsidRPr="006D1556">
        <w:rPr>
          <w:rFonts w:cs="Arial"/>
          <w:szCs w:val="20"/>
          <w:lang w:val="es-CO"/>
        </w:rPr>
        <w:t xml:space="preserve"> de </w:t>
      </w:r>
      <w:r w:rsidRPr="006D1556" w:rsidR="006D1556">
        <w:rPr>
          <w:rFonts w:cs="Arial"/>
          <w:szCs w:val="20"/>
          <w:lang w:val="es-CO"/>
        </w:rPr>
        <w:t xml:space="preserve">Rendición de Cuentas correspondiente a la </w:t>
      </w:r>
      <w:r w:rsidRPr="006D1556">
        <w:rPr>
          <w:rFonts w:cs="Arial"/>
          <w:szCs w:val="20"/>
          <w:lang w:val="es-CO"/>
        </w:rPr>
        <w:t xml:space="preserve">vigencia 2025 fue transmitida por Facebook </w:t>
      </w:r>
      <w:r w:rsidRPr="006D1556" w:rsidR="006D1556">
        <w:rPr>
          <w:rFonts w:cs="Arial"/>
          <w:szCs w:val="20"/>
          <w:lang w:val="es-CO"/>
        </w:rPr>
        <w:t>Live desde</w:t>
      </w:r>
      <w:r w:rsidRPr="006D1556">
        <w:rPr>
          <w:rFonts w:cs="Arial"/>
          <w:szCs w:val="20"/>
          <w:lang w:val="es-CO"/>
        </w:rPr>
        <w:t xml:space="preserve"> la cuenta oficial de la Red de Salud del Centro E.S.E. @saludcentro. La transmisión inició a las 2:05 p.m. del 27 de mayo </w:t>
      </w:r>
      <w:r w:rsidRPr="006D1556" w:rsidR="006D1556">
        <w:rPr>
          <w:rFonts w:cs="Arial"/>
          <w:szCs w:val="20"/>
          <w:lang w:val="es-CO"/>
        </w:rPr>
        <w:t xml:space="preserve">de 2026 </w:t>
      </w:r>
      <w:r w:rsidRPr="006D1556">
        <w:rPr>
          <w:rFonts w:cs="Arial"/>
          <w:szCs w:val="20"/>
          <w:lang w:val="es-CO"/>
        </w:rPr>
        <w:t>y tuvo una duración de 1</w:t>
      </w:r>
      <w:r w:rsidRPr="006D1556" w:rsidR="006D1556">
        <w:rPr>
          <w:rFonts w:cs="Arial"/>
          <w:szCs w:val="20"/>
          <w:lang w:val="es-CO"/>
        </w:rPr>
        <w:t xml:space="preserve"> hora, </w:t>
      </w:r>
      <w:r w:rsidRPr="006D1556">
        <w:rPr>
          <w:rFonts w:cs="Arial"/>
          <w:szCs w:val="20"/>
          <w:lang w:val="es-CO"/>
        </w:rPr>
        <w:t>25</w:t>
      </w:r>
      <w:r w:rsidRPr="006D1556" w:rsidR="006D1556">
        <w:rPr>
          <w:rFonts w:cs="Arial"/>
          <w:szCs w:val="20"/>
          <w:lang w:val="es-CO"/>
        </w:rPr>
        <w:t xml:space="preserve"> minutos y </w:t>
      </w:r>
      <w:r w:rsidRPr="006D1556">
        <w:rPr>
          <w:rFonts w:cs="Arial"/>
          <w:szCs w:val="20"/>
          <w:lang w:val="es-CO"/>
        </w:rPr>
        <w:t xml:space="preserve">45 </w:t>
      </w:r>
      <w:r w:rsidRPr="006D1556" w:rsidR="006D1556">
        <w:rPr>
          <w:rFonts w:cs="Arial"/>
          <w:szCs w:val="20"/>
          <w:lang w:val="es-CO"/>
        </w:rPr>
        <w:t>segundos.</w:t>
      </w:r>
    </w:p>
    <w:p w:rsidRPr="006D1556" w:rsidR="002E3FA8" w:rsidRDefault="005F28D9" w14:paraId="0B4EDD8F" w14:textId="77777777">
      <w:pPr>
        <w:rPr>
          <w:rFonts w:cs="Arial"/>
          <w:szCs w:val="20"/>
          <w:lang w:val="es-CO"/>
        </w:rPr>
      </w:pPr>
      <w:r w:rsidRPr="006D1556">
        <w:rPr>
          <w:rFonts w:cs="Arial"/>
          <w:szCs w:val="20"/>
          <w:lang w:val="es-CO"/>
        </w:rPr>
        <w:t xml:space="preserve">Enlace de transmisión: </w:t>
      </w:r>
      <w:r w:rsidRPr="00545AB0">
        <w:rPr>
          <w:rFonts w:cs="Arial"/>
          <w:szCs w:val="20"/>
          <w:u w:val="single"/>
          <w:lang w:val="es-CO"/>
        </w:rPr>
        <w:t>https://www.facebook.com/redcentrocali/videos/3188838171326518</w:t>
      </w:r>
    </w:p>
    <w:p w:rsidRPr="006D1556" w:rsidR="002E3FA8" w:rsidRDefault="005F28D9" w14:paraId="6B96615B" w14:textId="77777777">
      <w:pPr>
        <w:spacing w:before="120"/>
        <w:jc w:val="center"/>
        <w:rPr>
          <w:rFonts w:cs="Arial"/>
          <w:szCs w:val="20"/>
        </w:rPr>
      </w:pPr>
      <w:r w:rsidRPr="006D1556">
        <w:rPr>
          <w:rFonts w:cs="Arial"/>
          <w:noProof/>
          <w:szCs w:val="20"/>
        </w:rPr>
        <w:drawing>
          <wp:inline distT="0" distB="0" distL="0" distR="0" wp14:anchorId="67E9188F" wp14:editId="24B481BB">
            <wp:extent cx="4113530" cy="1996440"/>
            <wp:effectExtent l="0" t="0" r="127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p_transmision_gerente.png"/>
                    <pic:cNvPicPr/>
                  </pic:nvPicPr>
                  <pic:blipFill rotWithShape="1">
                    <a:blip r:embed="rId15"/>
                    <a:srcRect b="12068"/>
                    <a:stretch/>
                  </pic:blipFill>
                  <pic:spPr bwMode="auto">
                    <a:xfrm>
                      <a:off x="0" y="0"/>
                      <a:ext cx="4122705" cy="2000893"/>
                    </a:xfrm>
                    <a:prstGeom prst="rect">
                      <a:avLst/>
                    </a:prstGeom>
                    <a:ln>
                      <a:noFill/>
                    </a:ln>
                    <a:extLst>
                      <a:ext uri="{53640926-AAD7-44D8-BBD7-CCE9431645EC}">
                        <a14:shadowObscured xmlns:a14="http://schemas.microsoft.com/office/drawing/2010/main"/>
                      </a:ext>
                    </a:extLst>
                  </pic:spPr>
                </pic:pic>
              </a:graphicData>
            </a:graphic>
          </wp:inline>
        </w:drawing>
      </w:r>
    </w:p>
    <w:p w:rsidRPr="006D1556" w:rsidR="002E3FA8" w:rsidRDefault="005F28D9" w14:paraId="0321D8EC" w14:textId="77777777">
      <w:pPr>
        <w:spacing w:before="200"/>
        <w:jc w:val="left"/>
        <w:rPr>
          <w:rFonts w:cs="Arial"/>
          <w:szCs w:val="20"/>
          <w:lang w:val="es-CO"/>
        </w:rPr>
      </w:pPr>
      <w:r w:rsidRPr="006D1556">
        <w:rPr>
          <w:rFonts w:cs="Arial"/>
          <w:b/>
          <w:color w:val="2E5496"/>
          <w:szCs w:val="20"/>
          <w:lang w:val="es-CO"/>
        </w:rPr>
        <w:t>Estadísticas de la transmisión</w:t>
      </w:r>
    </w:p>
    <w:p w:rsidRPr="006D1556" w:rsidR="002E3FA8" w:rsidRDefault="005F28D9" w14:paraId="448B88C3" w14:textId="77777777">
      <w:pPr>
        <w:rPr>
          <w:rFonts w:cs="Arial"/>
          <w:szCs w:val="20"/>
          <w:lang w:val="es-CO"/>
        </w:rPr>
      </w:pPr>
      <w:r w:rsidRPr="006D1556">
        <w:rPr>
          <w:rFonts w:cs="Arial"/>
          <w:szCs w:val="20"/>
          <w:lang w:val="es-CO"/>
        </w:rPr>
        <w:t>8.1 Caracterización demográfica: La mayor proporción de la población conectada en la transmisión en vivo se ubica entre los 18 y 24 años de edad, siendo el grupo de 35 a 44 años el segundo con mayor representatividad.</w:t>
      </w:r>
    </w:p>
    <w:p w:rsidRPr="006D1556" w:rsidR="002E3FA8" w:rsidRDefault="005F28D9" w14:paraId="380A6F11" w14:textId="77777777">
      <w:pPr>
        <w:spacing w:before="120"/>
        <w:jc w:val="center"/>
        <w:rPr>
          <w:rFonts w:cs="Arial"/>
          <w:szCs w:val="20"/>
        </w:rPr>
      </w:pPr>
      <w:r w:rsidRPr="006D1556">
        <w:rPr>
          <w:rFonts w:cs="Arial"/>
          <w:noProof/>
          <w:szCs w:val="20"/>
        </w:rPr>
        <w:drawing>
          <wp:inline distT="0" distB="0" distL="0" distR="0" wp14:anchorId="746004BC" wp14:editId="22A28886">
            <wp:extent cx="4572000" cy="1943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p_fb_demografia.png"/>
                    <pic:cNvPicPr/>
                  </pic:nvPicPr>
                  <pic:blipFill rotWithShape="1">
                    <a:blip r:embed="rId16"/>
                    <a:srcRect t="22727"/>
                    <a:stretch/>
                  </pic:blipFill>
                  <pic:spPr bwMode="auto">
                    <a:xfrm>
                      <a:off x="0" y="0"/>
                      <a:ext cx="4572000" cy="1943100"/>
                    </a:xfrm>
                    <a:prstGeom prst="rect">
                      <a:avLst/>
                    </a:prstGeom>
                    <a:ln>
                      <a:noFill/>
                    </a:ln>
                    <a:extLst>
                      <a:ext uri="{53640926-AAD7-44D8-BBD7-CCE9431645EC}">
                        <a14:shadowObscured xmlns:a14="http://schemas.microsoft.com/office/drawing/2010/main"/>
                      </a:ext>
                    </a:extLst>
                  </pic:spPr>
                </pic:pic>
              </a:graphicData>
            </a:graphic>
          </wp:inline>
        </w:drawing>
      </w:r>
    </w:p>
    <w:p w:rsidRPr="006D1556" w:rsidR="002E3FA8" w:rsidRDefault="005F28D9" w14:paraId="0353C1EF" w14:textId="77777777">
      <w:pPr>
        <w:rPr>
          <w:rFonts w:cs="Arial"/>
          <w:szCs w:val="20"/>
          <w:lang w:val="es-CO"/>
        </w:rPr>
      </w:pPr>
      <w:r w:rsidRPr="006D1556">
        <w:rPr>
          <w:rFonts w:cs="Arial"/>
          <w:szCs w:val="20"/>
          <w:lang w:val="es-CO"/>
        </w:rPr>
        <w:t>8.2 Métricas de participación: A nivel de participación digital, se alcanzó un total de 894 interacciones con la audiencia. Adicionalmente, se destaca que las publicaciones fueron compartidas en 3 oportunidades, lo que contribuyó a la difusión de la información.</w:t>
      </w:r>
    </w:p>
    <w:p w:rsidRPr="006D1556" w:rsidR="002E3FA8" w:rsidRDefault="005F28D9" w14:paraId="3F43B0BC" w14:textId="77777777">
      <w:pPr>
        <w:spacing w:before="120"/>
        <w:jc w:val="center"/>
        <w:rPr>
          <w:rFonts w:cs="Arial"/>
          <w:szCs w:val="20"/>
        </w:rPr>
      </w:pPr>
      <w:r w:rsidRPr="006D1556">
        <w:rPr>
          <w:rFonts w:cs="Arial"/>
          <w:noProof/>
          <w:szCs w:val="20"/>
        </w:rPr>
        <w:drawing>
          <wp:inline distT="0" distB="0" distL="0" distR="0" wp14:anchorId="505C49A1" wp14:editId="4A8B199C">
            <wp:extent cx="4570730" cy="244602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p_fb_metricas.png"/>
                    <pic:cNvPicPr/>
                  </pic:nvPicPr>
                  <pic:blipFill rotWithShape="1">
                    <a:blip r:embed="rId17"/>
                    <a:srcRect t="12624" b="4672"/>
                    <a:stretch/>
                  </pic:blipFill>
                  <pic:spPr bwMode="auto">
                    <a:xfrm>
                      <a:off x="0" y="0"/>
                      <a:ext cx="4572000" cy="2446700"/>
                    </a:xfrm>
                    <a:prstGeom prst="rect">
                      <a:avLst/>
                    </a:prstGeom>
                    <a:ln>
                      <a:noFill/>
                    </a:ln>
                    <a:extLst>
                      <a:ext uri="{53640926-AAD7-44D8-BBD7-CCE9431645EC}">
                        <a14:shadowObscured xmlns:a14="http://schemas.microsoft.com/office/drawing/2010/main"/>
                      </a:ext>
                    </a:extLst>
                  </pic:spPr>
                </pic:pic>
              </a:graphicData>
            </a:graphic>
          </wp:inline>
        </w:drawing>
      </w:r>
    </w:p>
    <w:p w:rsidRPr="006D1556" w:rsidR="002E3FA8" w:rsidRDefault="005F28D9" w14:paraId="22DFFE02" w14:textId="77777777">
      <w:pPr>
        <w:rPr>
          <w:rFonts w:cs="Arial"/>
          <w:szCs w:val="20"/>
        </w:rPr>
      </w:pPr>
      <w:r w:rsidRPr="006D1556">
        <w:rPr>
          <w:rFonts w:cs="Arial"/>
          <w:szCs w:val="20"/>
          <w:lang w:val="es-CO"/>
        </w:rPr>
        <w:t xml:space="preserve">8.3 Interacciones de la transmisión en vivo: Durante la transmisión en vivo se registraron 84 interacciones por parte de los usuarios. La transmisión en vivo estuvo bajo monitoreo técnico continuo y en tiempo real. De acuerdo con los registros del sistema, no se presentaron preguntas, reclamaciones o requerimientos técnicos por el canal virtual. Las participaciones se limitaron a expresiones de apoyo y aprobación a la gestión institucional, incluyendo felicitaciones dirigidas al equipo de trabajo y a la gerencia. Cabe destacar que no se formularon preguntas y se documentó únicamente un (1) comentario relacionado con la prestación de los servicios. </w:t>
      </w:r>
      <w:r w:rsidRPr="006D1556">
        <w:rPr>
          <w:rFonts w:cs="Arial"/>
          <w:szCs w:val="20"/>
        </w:rPr>
        <w:t xml:space="preserve">A </w:t>
      </w:r>
      <w:proofErr w:type="spellStart"/>
      <w:r w:rsidRPr="006D1556">
        <w:rPr>
          <w:rFonts w:cs="Arial"/>
          <w:szCs w:val="20"/>
        </w:rPr>
        <w:t>continuación</w:t>
      </w:r>
      <w:proofErr w:type="spellEnd"/>
      <w:r w:rsidRPr="006D1556">
        <w:rPr>
          <w:rFonts w:cs="Arial"/>
          <w:szCs w:val="20"/>
        </w:rPr>
        <w:t xml:space="preserve">, se </w:t>
      </w:r>
      <w:proofErr w:type="spellStart"/>
      <w:r w:rsidRPr="006D1556">
        <w:rPr>
          <w:rFonts w:cs="Arial"/>
          <w:szCs w:val="20"/>
        </w:rPr>
        <w:t>presentan</w:t>
      </w:r>
      <w:proofErr w:type="spellEnd"/>
      <w:r w:rsidRPr="006D1556">
        <w:rPr>
          <w:rFonts w:cs="Arial"/>
          <w:szCs w:val="20"/>
        </w:rPr>
        <w:t xml:space="preserve"> </w:t>
      </w:r>
      <w:proofErr w:type="spellStart"/>
      <w:r w:rsidRPr="006D1556">
        <w:rPr>
          <w:rFonts w:cs="Arial"/>
          <w:szCs w:val="20"/>
        </w:rPr>
        <w:t>algunos</w:t>
      </w:r>
      <w:proofErr w:type="spellEnd"/>
      <w:r w:rsidRPr="006D1556">
        <w:rPr>
          <w:rFonts w:cs="Arial"/>
          <w:szCs w:val="20"/>
        </w:rPr>
        <w:t xml:space="preserve"> de los mensajes destacados:</w:t>
      </w:r>
    </w:p>
    <w:p w:rsidRPr="006D1556" w:rsidR="002E3FA8" w:rsidRDefault="005F28D9" w14:paraId="062057D0" w14:textId="77777777">
      <w:pPr>
        <w:spacing w:before="120"/>
        <w:jc w:val="center"/>
        <w:rPr>
          <w:rFonts w:cs="Arial"/>
          <w:szCs w:val="20"/>
        </w:rPr>
      </w:pPr>
      <w:r w:rsidRPr="006D1556">
        <w:rPr>
          <w:rFonts w:cs="Arial"/>
          <w:noProof/>
          <w:szCs w:val="20"/>
        </w:rPr>
        <w:drawing>
          <wp:inline distT="0" distB="0" distL="0" distR="0" wp14:anchorId="2920871B" wp14:editId="5FEBF165">
            <wp:extent cx="5303424" cy="46405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p_comentarios_facebook.png"/>
                    <pic:cNvPicPr/>
                  </pic:nvPicPr>
                  <pic:blipFill rotWithShape="1">
                    <a:blip r:embed="rId18"/>
                    <a:srcRect t="6738"/>
                    <a:stretch/>
                  </pic:blipFill>
                  <pic:spPr bwMode="auto">
                    <a:xfrm>
                      <a:off x="0" y="0"/>
                      <a:ext cx="5303520" cy="4640664"/>
                    </a:xfrm>
                    <a:prstGeom prst="rect">
                      <a:avLst/>
                    </a:prstGeom>
                    <a:ln>
                      <a:noFill/>
                    </a:ln>
                    <a:extLst>
                      <a:ext uri="{53640926-AAD7-44D8-BBD7-CCE9431645EC}">
                        <a14:shadowObscured xmlns:a14="http://schemas.microsoft.com/office/drawing/2010/main"/>
                      </a:ext>
                    </a:extLst>
                  </pic:spPr>
                </pic:pic>
              </a:graphicData>
            </a:graphic>
          </wp:inline>
        </w:drawing>
      </w:r>
    </w:p>
    <w:p w:rsidRPr="006D1556" w:rsidR="002E3FA8" w:rsidRDefault="005F28D9" w14:paraId="21D58C2C" w14:textId="77777777">
      <w:pPr>
        <w:rPr>
          <w:rFonts w:cs="Arial"/>
          <w:szCs w:val="20"/>
          <w:lang w:val="es-CO"/>
        </w:rPr>
      </w:pPr>
      <w:r w:rsidRPr="006D1556">
        <w:rPr>
          <w:rFonts w:cs="Arial"/>
          <w:szCs w:val="20"/>
          <w:lang w:val="es-CO"/>
        </w:rPr>
        <w:t>8.4 Alcance de la transmisión en vivo: La emisión alcanzó un total de 1.200 visualizaciones durante su primera jornada. Posteriormente, la grabación ha conservado un flujo constante de visitas, logrando contabilizar 2.060 visualizaciones.</w:t>
      </w:r>
    </w:p>
    <w:p w:rsidR="0089538B" w:rsidRDefault="0089538B" w14:paraId="109FDE4A" w14:textId="77777777">
      <w:pPr>
        <w:rPr>
          <w:kern w:val="2"/>
          <w:szCs w:val="20"/>
          <w:lang w:val="es-CO" w:eastAsia="es-CO"/>
          <w14:ligatures w14:val="standardContextual"/>
        </w:rPr>
      </w:pPr>
      <w:r w:rsidRPr="0089538B">
        <w:rPr>
          <w:i/>
          <w:iCs/>
          <w:lang w:val="es-CO"/>
        </w:rPr>
        <w:t>Nota metodológica sobre métricas digitales: las cifras reportadas corresponden a indicadores distintos de Facebook. Las 84 interacciones hacen referencia a la actividad registrada durante la transmisión en vivo; las 894 interacciones corresponden al total acumulado de reacciones, comentarios, clics y otras acciones asociadas a la publicación; las 1.200 visualizaciones corresponden al alcance inicial de la jornada, y las 2.060 visualizaciones reflejan el acumulado posterior de la grabación publicada.</w:t>
      </w:r>
    </w:p>
    <w:p w:rsidRPr="00846AFF" w:rsidR="00545AB0" w:rsidRDefault="00545AB0" w14:paraId="451EA2D3" w14:textId="77777777">
      <w:pPr>
        <w:spacing w:before="120"/>
        <w:jc w:val="center"/>
        <w:rPr>
          <w:rFonts w:cs="Arial"/>
          <w:szCs w:val="20"/>
          <w:lang w:val="es-CO"/>
        </w:rPr>
      </w:pPr>
    </w:p>
    <w:p w:rsidRPr="00846AFF" w:rsidR="00545AB0" w:rsidRDefault="00545AB0" w14:paraId="5390AB06" w14:textId="77777777">
      <w:pPr>
        <w:spacing w:before="120"/>
        <w:jc w:val="center"/>
        <w:rPr>
          <w:rFonts w:cs="Arial"/>
          <w:szCs w:val="20"/>
          <w:lang w:val="es-CO"/>
        </w:rPr>
      </w:pPr>
    </w:p>
    <w:p w:rsidRPr="00846AFF" w:rsidR="00545AB0" w:rsidRDefault="00545AB0" w14:paraId="7AEB62C4" w14:textId="77777777">
      <w:pPr>
        <w:spacing w:before="120"/>
        <w:jc w:val="center"/>
        <w:rPr>
          <w:rFonts w:cs="Arial"/>
          <w:szCs w:val="20"/>
          <w:lang w:val="es-CO"/>
        </w:rPr>
      </w:pPr>
    </w:p>
    <w:p w:rsidR="002E3FA8" w:rsidRDefault="005F28D9" w14:paraId="186F4403" w14:textId="333903E6">
      <w:pPr>
        <w:spacing w:before="120"/>
        <w:jc w:val="center"/>
        <w:rPr>
          <w:rFonts w:cs="Arial"/>
          <w:szCs w:val="20"/>
        </w:rPr>
      </w:pPr>
      <w:r w:rsidRPr="006D1556">
        <w:rPr>
          <w:rFonts w:cs="Arial"/>
          <w:noProof/>
          <w:szCs w:val="20"/>
        </w:rPr>
        <w:drawing>
          <wp:inline distT="0" distB="0" distL="0" distR="0" wp14:anchorId="7998A0AE" wp14:editId="6F59301D">
            <wp:extent cx="4388659" cy="20961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p_visualizaciones.png"/>
                    <pic:cNvPicPr/>
                  </pic:nvPicPr>
                  <pic:blipFill rotWithShape="1">
                    <a:blip r:embed="rId19"/>
                    <a:srcRect t="15640"/>
                    <a:stretch/>
                  </pic:blipFill>
                  <pic:spPr bwMode="auto">
                    <a:xfrm>
                      <a:off x="0" y="0"/>
                      <a:ext cx="4389120" cy="2096355"/>
                    </a:xfrm>
                    <a:prstGeom prst="rect">
                      <a:avLst/>
                    </a:prstGeom>
                    <a:ln>
                      <a:noFill/>
                    </a:ln>
                    <a:extLst>
                      <a:ext uri="{53640926-AAD7-44D8-BBD7-CCE9431645EC}">
                        <a14:shadowObscured xmlns:a14="http://schemas.microsoft.com/office/drawing/2010/main"/>
                      </a:ext>
                    </a:extLst>
                  </pic:spPr>
                </pic:pic>
              </a:graphicData>
            </a:graphic>
          </wp:inline>
        </w:drawing>
      </w:r>
    </w:p>
    <w:p w:rsidRPr="006D1556" w:rsidR="00545AB0" w:rsidRDefault="00545AB0" w14:paraId="2D574A6D" w14:textId="77777777">
      <w:pPr>
        <w:spacing w:before="120"/>
        <w:jc w:val="center"/>
        <w:rPr>
          <w:rFonts w:cs="Arial"/>
          <w:szCs w:val="20"/>
        </w:rPr>
      </w:pPr>
    </w:p>
    <w:p w:rsidRPr="006D1556" w:rsidR="002E3FA8" w:rsidRDefault="005F28D9" w14:paraId="7F90DA43" w14:textId="77777777">
      <w:pPr>
        <w:pBdr>
          <w:bottom w:val="single" w:color="2E5496" w:sz="6" w:space="2"/>
        </w:pBdr>
        <w:spacing w:before="200"/>
        <w:jc w:val="left"/>
        <w:rPr>
          <w:rFonts w:cs="Arial"/>
          <w:szCs w:val="20"/>
          <w:lang w:val="es-CO"/>
        </w:rPr>
      </w:pPr>
      <w:r w:rsidRPr="006D1556">
        <w:rPr>
          <w:rFonts w:cs="Arial"/>
          <w:b/>
          <w:color w:val="2E5496"/>
          <w:szCs w:val="20"/>
          <w:lang w:val="es-CO"/>
        </w:rPr>
        <w:t>9. COMPROMISOS INSTITUCIONALES</w:t>
      </w:r>
    </w:p>
    <w:p w:rsidRPr="006D1556" w:rsidR="002E3FA8" w:rsidRDefault="005F28D9" w14:paraId="73123EDD" w14:textId="77777777">
      <w:pPr>
        <w:rPr>
          <w:rFonts w:cs="Arial"/>
          <w:szCs w:val="20"/>
          <w:lang w:val="es-CO"/>
        </w:rPr>
      </w:pPr>
      <w:r w:rsidRPr="006D1556">
        <w:rPr>
          <w:rFonts w:cs="Arial"/>
          <w:szCs w:val="20"/>
          <w:lang w:val="es-CO"/>
        </w:rPr>
        <w:t>Como resultado del diálogo ciudadano sostenido durante la audiencia, la Red de Salud del Centro E.S.E. adquiere los siguientes compromisos institucionales:</w:t>
      </w:r>
    </w:p>
    <w:p w:rsidR="004C22D0" w:rsidP="10C93EC1" w:rsidRDefault="004C22D0" w14:paraId="0FD085B0" w14:textId="41F770F0">
      <w:pPr>
        <w:rPr>
          <w:b/>
          <w:bCs/>
          <w:kern w:val="2"/>
          <w:lang w:val="es-CO" w:eastAsia="es-CO"/>
          <w14:ligatures w14:val="standardContextual"/>
        </w:rPr>
      </w:pPr>
      <w:r w:rsidRPr="10C93EC1">
        <w:rPr>
          <w:b/>
          <w:bCs/>
          <w:lang w:val="es-CO"/>
        </w:rPr>
        <w:t xml:space="preserve">Tabla </w:t>
      </w:r>
      <w:r w:rsidRPr="10C93EC1" w:rsidR="007E13E5">
        <w:rPr>
          <w:b/>
          <w:bCs/>
          <w:lang w:val="es-CO"/>
        </w:rPr>
        <w:t>8</w:t>
      </w:r>
      <w:r w:rsidRPr="10C93EC1">
        <w:rPr>
          <w:b/>
          <w:bCs/>
          <w:lang w:val="es-CO"/>
        </w:rPr>
        <w:t>. Compromisos institucionales derivados de la audiencia pública</w:t>
      </w:r>
    </w:p>
    <w:tbl>
      <w:tblPr>
        <w:tblStyle w:val="TableGrid"/>
        <w:tblW w:w="0" w:type="auto"/>
        <w:jc w:val="center"/>
        <w:tblLook w:val="04A0" w:firstRow="1" w:lastRow="0" w:firstColumn="1" w:lastColumn="0" w:noHBand="0" w:noVBand="1"/>
      </w:tblPr>
      <w:tblGrid>
        <w:gridCol w:w="573"/>
        <w:gridCol w:w="4312"/>
        <w:gridCol w:w="2262"/>
        <w:gridCol w:w="1400"/>
        <w:gridCol w:w="1317"/>
      </w:tblGrid>
      <w:tr w:rsidRPr="006D1556" w:rsidR="002E3FA8" w:rsidTr="10C93EC1" w14:paraId="70F39AC8" w14:textId="77777777">
        <w:trPr>
          <w:tblHeader/>
          <w:jc w:val="center"/>
        </w:trPr>
        <w:tc>
          <w:tcPr>
            <w:tcW w:w="573" w:type="dxa"/>
            <w:shd w:val="clear" w:color="auto" w:fill="1F3864"/>
            <w:vAlign w:val="center"/>
          </w:tcPr>
          <w:p w:rsidRPr="006D1556" w:rsidR="002E3FA8" w:rsidP="10C93EC1" w:rsidRDefault="005F28D9" w14:paraId="1E028E50" w14:textId="77777777">
            <w:pPr>
              <w:jc w:val="center"/>
              <w:rPr>
                <w:rFonts w:cs="Arial"/>
                <w:b/>
                <w:bCs/>
              </w:rPr>
            </w:pPr>
            <w:r w:rsidRPr="10C93EC1">
              <w:rPr>
                <w:rFonts w:cs="Arial"/>
                <w:b/>
                <w:bCs/>
                <w:color w:val="FFFFFF" w:themeColor="background1"/>
              </w:rPr>
              <w:t>No.</w:t>
            </w:r>
          </w:p>
        </w:tc>
        <w:tc>
          <w:tcPr>
            <w:tcW w:w="4312" w:type="dxa"/>
            <w:shd w:val="clear" w:color="auto" w:fill="1F3864"/>
            <w:vAlign w:val="center"/>
          </w:tcPr>
          <w:p w:rsidRPr="006D1556" w:rsidR="002E3FA8" w:rsidP="10C93EC1" w:rsidRDefault="005F28D9" w14:paraId="631A4770" w14:textId="77777777">
            <w:pPr>
              <w:jc w:val="center"/>
              <w:rPr>
                <w:rFonts w:cs="Arial"/>
                <w:b/>
                <w:bCs/>
              </w:rPr>
            </w:pPr>
            <w:r w:rsidRPr="10C93EC1">
              <w:rPr>
                <w:rFonts w:cs="Arial"/>
                <w:b/>
                <w:bCs/>
                <w:color w:val="FFFFFF" w:themeColor="background1"/>
              </w:rPr>
              <w:t>COMPROMISO</w:t>
            </w:r>
          </w:p>
        </w:tc>
        <w:tc>
          <w:tcPr>
            <w:tcW w:w="2262" w:type="dxa"/>
            <w:shd w:val="clear" w:color="auto" w:fill="1F3864"/>
            <w:vAlign w:val="center"/>
          </w:tcPr>
          <w:p w:rsidRPr="006D1556" w:rsidR="002E3FA8" w:rsidP="10C93EC1" w:rsidRDefault="005F28D9" w14:paraId="02336C42" w14:textId="77777777">
            <w:pPr>
              <w:jc w:val="center"/>
              <w:rPr>
                <w:rFonts w:cs="Arial"/>
                <w:b/>
                <w:bCs/>
              </w:rPr>
            </w:pPr>
            <w:r w:rsidRPr="10C93EC1">
              <w:rPr>
                <w:rFonts w:cs="Arial"/>
                <w:b/>
                <w:bCs/>
                <w:color w:val="FFFFFF" w:themeColor="background1"/>
              </w:rPr>
              <w:t>RESPONSABLE</w:t>
            </w:r>
          </w:p>
        </w:tc>
        <w:tc>
          <w:tcPr>
            <w:tcW w:w="1400" w:type="dxa"/>
            <w:shd w:val="clear" w:color="auto" w:fill="1F3864"/>
            <w:vAlign w:val="center"/>
          </w:tcPr>
          <w:p w:rsidRPr="006D1556" w:rsidR="002E3FA8" w:rsidP="10C93EC1" w:rsidRDefault="005F28D9" w14:paraId="09CCC7EB" w14:textId="77777777">
            <w:pPr>
              <w:jc w:val="center"/>
              <w:rPr>
                <w:rFonts w:cs="Arial"/>
                <w:b/>
                <w:bCs/>
              </w:rPr>
            </w:pPr>
            <w:r w:rsidRPr="10C93EC1">
              <w:rPr>
                <w:rFonts w:cs="Arial"/>
                <w:b/>
                <w:bCs/>
                <w:color w:val="FFFFFF" w:themeColor="background1"/>
              </w:rPr>
              <w:t>FECHA LÍMITE</w:t>
            </w:r>
          </w:p>
        </w:tc>
        <w:tc>
          <w:tcPr>
            <w:tcW w:w="1317" w:type="dxa"/>
            <w:shd w:val="clear" w:color="auto" w:fill="1F3864"/>
            <w:vAlign w:val="center"/>
          </w:tcPr>
          <w:p w:rsidRPr="006D1556" w:rsidR="002E3FA8" w:rsidP="10C93EC1" w:rsidRDefault="005F28D9" w14:paraId="101E2EBC" w14:textId="77777777">
            <w:pPr>
              <w:jc w:val="center"/>
              <w:rPr>
                <w:rFonts w:cs="Arial"/>
                <w:b/>
                <w:bCs/>
              </w:rPr>
            </w:pPr>
            <w:r w:rsidRPr="10C93EC1">
              <w:rPr>
                <w:rFonts w:cs="Arial"/>
                <w:b/>
                <w:bCs/>
                <w:color w:val="FFFFFF" w:themeColor="background1"/>
              </w:rPr>
              <w:t>ESTADO</w:t>
            </w:r>
          </w:p>
        </w:tc>
      </w:tr>
      <w:tr w:rsidRPr="006D1556" w:rsidR="002E3FA8" w:rsidTr="10C93EC1" w14:paraId="27F444D9" w14:textId="77777777">
        <w:trPr>
          <w:jc w:val="center"/>
        </w:trPr>
        <w:tc>
          <w:tcPr>
            <w:tcW w:w="573" w:type="dxa"/>
            <w:vAlign w:val="center"/>
          </w:tcPr>
          <w:p w:rsidRPr="006D1556" w:rsidR="002E3FA8" w:rsidP="007E13E5" w:rsidRDefault="000C517B" w14:paraId="3D60528A" w14:textId="652BAF3E">
            <w:pPr>
              <w:jc w:val="center"/>
              <w:rPr>
                <w:rFonts w:cs="Arial"/>
                <w:szCs w:val="20"/>
              </w:rPr>
            </w:pPr>
            <w:r>
              <w:rPr>
                <w:rFonts w:cs="Arial"/>
                <w:szCs w:val="20"/>
              </w:rPr>
              <w:t>1</w:t>
            </w:r>
          </w:p>
        </w:tc>
        <w:tc>
          <w:tcPr>
            <w:tcW w:w="4312" w:type="dxa"/>
            <w:vAlign w:val="center"/>
          </w:tcPr>
          <w:p w:rsidRPr="006D1556" w:rsidR="002E3FA8" w:rsidP="005958D4" w:rsidRDefault="005958D4" w14:paraId="334B472F" w14:textId="4F004CAC">
            <w:pPr>
              <w:rPr>
                <w:rFonts w:cs="Arial"/>
                <w:szCs w:val="20"/>
                <w:lang w:val="es-CO"/>
              </w:rPr>
            </w:pPr>
            <w:r>
              <w:rPr>
                <w:rFonts w:cs="Arial"/>
                <w:szCs w:val="20"/>
                <w:lang w:val="es-CO"/>
              </w:rPr>
              <w:t>R</w:t>
            </w:r>
            <w:r w:rsidRPr="005958D4">
              <w:rPr>
                <w:rFonts w:cs="Arial"/>
                <w:szCs w:val="20"/>
                <w:lang w:val="es-CO"/>
              </w:rPr>
              <w:t>eactiva</w:t>
            </w:r>
            <w:r>
              <w:rPr>
                <w:rFonts w:cs="Arial"/>
                <w:szCs w:val="20"/>
                <w:lang w:val="es-CO"/>
              </w:rPr>
              <w:t>r e</w:t>
            </w:r>
            <w:r w:rsidRPr="006D1556" w:rsidR="005F28D9">
              <w:rPr>
                <w:rFonts w:cs="Arial"/>
                <w:szCs w:val="20"/>
                <w:lang w:val="es-CO"/>
              </w:rPr>
              <w:t>l servicio de electrocardiograma en la IPS Obrero.</w:t>
            </w:r>
          </w:p>
        </w:tc>
        <w:tc>
          <w:tcPr>
            <w:tcW w:w="2262" w:type="dxa"/>
            <w:vAlign w:val="center"/>
          </w:tcPr>
          <w:p w:rsidRPr="006D1556" w:rsidR="002E3FA8" w:rsidP="00846AFF" w:rsidRDefault="005F28D9" w14:paraId="69F6A1C0" w14:textId="77777777">
            <w:pPr>
              <w:rPr>
                <w:rFonts w:cs="Arial"/>
                <w:szCs w:val="20"/>
              </w:rPr>
            </w:pPr>
            <w:proofErr w:type="spellStart"/>
            <w:r w:rsidRPr="006D1556">
              <w:rPr>
                <w:rFonts w:cs="Arial"/>
                <w:szCs w:val="20"/>
              </w:rPr>
              <w:t>Subgerencia</w:t>
            </w:r>
            <w:proofErr w:type="spellEnd"/>
            <w:r w:rsidRPr="006D1556">
              <w:rPr>
                <w:rFonts w:cs="Arial"/>
                <w:szCs w:val="20"/>
              </w:rPr>
              <w:t xml:space="preserve"> </w:t>
            </w:r>
            <w:proofErr w:type="spellStart"/>
            <w:r w:rsidRPr="006D1556">
              <w:rPr>
                <w:rFonts w:cs="Arial"/>
                <w:szCs w:val="20"/>
              </w:rPr>
              <w:t>Científica</w:t>
            </w:r>
            <w:proofErr w:type="spellEnd"/>
          </w:p>
        </w:tc>
        <w:tc>
          <w:tcPr>
            <w:tcW w:w="1400" w:type="dxa"/>
            <w:vAlign w:val="center"/>
          </w:tcPr>
          <w:p w:rsidRPr="006D1556" w:rsidR="002E3FA8" w:rsidP="007E13E5" w:rsidRDefault="005F28D9" w14:paraId="35A82E20" w14:textId="77777777">
            <w:pPr>
              <w:jc w:val="center"/>
              <w:rPr>
                <w:rFonts w:cs="Arial"/>
                <w:szCs w:val="20"/>
              </w:rPr>
            </w:pPr>
            <w:r w:rsidRPr="006D1556">
              <w:rPr>
                <w:rFonts w:cs="Arial"/>
                <w:szCs w:val="20"/>
              </w:rPr>
              <w:t>31 ago. 2026</w:t>
            </w:r>
          </w:p>
        </w:tc>
        <w:tc>
          <w:tcPr>
            <w:tcW w:w="1317" w:type="dxa"/>
            <w:vAlign w:val="center"/>
          </w:tcPr>
          <w:p w:rsidRPr="006D1556" w:rsidR="002E3FA8" w:rsidP="007E13E5" w:rsidRDefault="005F28D9" w14:paraId="0FFE4045" w14:textId="77777777">
            <w:pPr>
              <w:jc w:val="center"/>
              <w:rPr>
                <w:rFonts w:cs="Arial"/>
                <w:szCs w:val="20"/>
              </w:rPr>
            </w:pPr>
            <w:r w:rsidRPr="006D1556">
              <w:rPr>
                <w:rFonts w:cs="Arial"/>
                <w:szCs w:val="20"/>
              </w:rPr>
              <w:t>En curso</w:t>
            </w:r>
          </w:p>
        </w:tc>
      </w:tr>
    </w:tbl>
    <w:p w:rsidR="004C22D0" w:rsidP="10C93EC1" w:rsidRDefault="004C22D0" w14:paraId="42C95D4D" w14:textId="77777777">
      <w:pPr>
        <w:rPr>
          <w:b/>
          <w:bCs/>
          <w:i/>
          <w:iCs/>
          <w:color w:val="7F7F7F" w:themeColor="text1" w:themeTint="80"/>
          <w:sz w:val="18"/>
          <w:szCs w:val="18"/>
          <w:lang w:val="es-CO"/>
        </w:rPr>
      </w:pPr>
      <w:r w:rsidRPr="10C93EC1">
        <w:rPr>
          <w:b/>
          <w:bCs/>
          <w:i/>
          <w:iCs/>
          <w:color w:val="7F7F7F" w:themeColor="text1" w:themeTint="80"/>
          <w:sz w:val="18"/>
          <w:szCs w:val="18"/>
          <w:lang w:val="es-CO"/>
        </w:rPr>
        <w:t>Fuente: Consolidado de compromisos institucionales de la Audiencia Pública de Rendición de Cuentas – Vigencia 2025, Red de Salud del Centro E.S.E.</w:t>
      </w:r>
    </w:p>
    <w:p w:rsidR="00202D48" w:rsidRDefault="00202D48" w14:paraId="39BD2178" w14:textId="77777777">
      <w:pPr>
        <w:rPr>
          <w:kern w:val="2"/>
          <w:szCs w:val="20"/>
          <w:lang w:val="es-CO" w:eastAsia="es-CO"/>
          <w14:ligatures w14:val="standardContextual"/>
        </w:rPr>
      </w:pPr>
    </w:p>
    <w:p w:rsidRPr="006D1556" w:rsidR="002E3FA8" w:rsidRDefault="005F28D9" w14:paraId="1A362DD0" w14:textId="77777777">
      <w:pPr>
        <w:pBdr>
          <w:bottom w:val="single" w:color="2E5496" w:sz="6" w:space="2"/>
        </w:pBdr>
        <w:spacing w:before="200"/>
        <w:jc w:val="left"/>
        <w:rPr>
          <w:rFonts w:cs="Arial"/>
          <w:szCs w:val="20"/>
          <w:lang w:val="es-CO"/>
        </w:rPr>
      </w:pPr>
      <w:r w:rsidRPr="006D1556">
        <w:rPr>
          <w:rFonts w:cs="Arial"/>
          <w:b/>
          <w:color w:val="2E5496"/>
          <w:szCs w:val="20"/>
          <w:lang w:val="es-CO"/>
        </w:rPr>
        <w:t>10. REGISTRO FOTOGRÁFICO DE LA RENDICIÓN DE CUENTAS</w:t>
      </w:r>
    </w:p>
    <w:p w:rsidRPr="00DF576E" w:rsidR="00D70C00" w:rsidP="001A3CEC" w:rsidRDefault="00DF576E" w14:paraId="16AB19B7" w14:textId="77777777">
      <w:pPr>
        <w:rPr>
          <w:rFonts w:cs="Arial"/>
          <w:noProof/>
          <w:szCs w:val="20"/>
          <w:lang w:val="es-CO"/>
        </w:rPr>
      </w:pPr>
      <w:r w:rsidRPr="00DF576E">
        <w:rPr>
          <w:lang w:val="es-CO"/>
        </w:rPr>
        <w:t>El registro fotográfico se incorpora como anexo al presente informe y contiene evidencias de asistencia, intervención de ponentes, participación ciudadana, transmisión del evento y desarrollo general de la jornada. Estas evidencias hacen parte del soporte documental del proceso de rendición de cuentas y deberán conservarse junto con los demás anexos institucionales.</w:t>
      </w:r>
    </w:p>
    <w:p w:rsidRPr="006D1556" w:rsidR="002E3FA8" w:rsidP="00A975E2" w:rsidRDefault="001A3CEC" w14:paraId="3D0633C2" w14:textId="77777777">
      <w:pPr>
        <w:jc w:val="center"/>
        <w:rPr>
          <w:rFonts w:cs="Arial"/>
          <w:szCs w:val="20"/>
          <w:lang w:val="es-CO"/>
        </w:rPr>
      </w:pPr>
      <w:r w:rsidRPr="006D1556">
        <w:rPr>
          <w:rFonts w:cs="Arial"/>
          <w:noProof/>
          <w:szCs w:val="20"/>
        </w:rPr>
        <w:drawing>
          <wp:inline distT="0" distB="0" distL="0" distR="0" wp14:anchorId="31FC6EBF" wp14:editId="3C3163FD">
            <wp:extent cx="4571701" cy="2736215"/>
            <wp:effectExtent l="0" t="0" r="63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p_registro_fotografico.png"/>
                    <pic:cNvPicPr/>
                  </pic:nvPicPr>
                  <pic:blipFill rotWithShape="1">
                    <a:blip r:embed="rId20"/>
                    <a:srcRect t="31483"/>
                    <a:stretch/>
                  </pic:blipFill>
                  <pic:spPr bwMode="auto">
                    <a:xfrm>
                      <a:off x="0" y="0"/>
                      <a:ext cx="4572000" cy="2736394"/>
                    </a:xfrm>
                    <a:prstGeom prst="rect">
                      <a:avLst/>
                    </a:prstGeom>
                    <a:ln>
                      <a:noFill/>
                    </a:ln>
                    <a:extLst>
                      <a:ext uri="{53640926-AAD7-44D8-BBD7-CCE9431645EC}">
                        <a14:shadowObscured xmlns:a14="http://schemas.microsoft.com/office/drawing/2010/main"/>
                      </a:ext>
                    </a:extLst>
                  </pic:spPr>
                </pic:pic>
              </a:graphicData>
            </a:graphic>
          </wp:inline>
        </w:drawing>
      </w:r>
    </w:p>
    <w:p w:rsidRPr="006D1556" w:rsidR="002E3FA8" w:rsidRDefault="005F28D9" w14:paraId="239E4C06" w14:textId="77777777">
      <w:pPr>
        <w:pBdr>
          <w:bottom w:val="single" w:color="2E5496" w:sz="6" w:space="2"/>
        </w:pBdr>
        <w:spacing w:before="200"/>
        <w:jc w:val="left"/>
        <w:rPr>
          <w:rFonts w:cs="Arial"/>
          <w:szCs w:val="20"/>
          <w:lang w:val="es-CO"/>
        </w:rPr>
      </w:pPr>
      <w:r w:rsidRPr="006D1556">
        <w:rPr>
          <w:rFonts w:cs="Arial"/>
          <w:b/>
          <w:color w:val="2E5496"/>
          <w:szCs w:val="20"/>
          <w:lang w:val="es-CO"/>
        </w:rPr>
        <w:t>11. CIERRE DEL EVENTO</w:t>
      </w:r>
    </w:p>
    <w:p w:rsidRPr="006D1556" w:rsidR="002E3FA8" w:rsidP="001A3CEC" w:rsidRDefault="001A3CEC" w14:paraId="4AB8600D" w14:textId="77777777">
      <w:pPr>
        <w:rPr>
          <w:rFonts w:cs="Arial"/>
          <w:szCs w:val="20"/>
          <w:lang w:val="es-CO"/>
        </w:rPr>
      </w:pPr>
      <w:r w:rsidRPr="006D1556">
        <w:rPr>
          <w:rFonts w:cs="Arial"/>
          <w:szCs w:val="20"/>
          <w:lang w:val="es-CO"/>
        </w:rPr>
        <w:t xml:space="preserve">Con una asistencia presencial de 63 personas y 894 interacciones </w:t>
      </w:r>
      <w:r w:rsidRPr="00E56BBA" w:rsidR="00E56BBA">
        <w:rPr>
          <w:lang w:val="es-CO"/>
        </w:rPr>
        <w:t>acumuladas asociadas a la publicación</w:t>
      </w:r>
      <w:r w:rsidRPr="006D1556">
        <w:rPr>
          <w:rFonts w:cs="Arial"/>
          <w:szCs w:val="20"/>
          <w:lang w:val="es-CO"/>
        </w:rPr>
        <w:t xml:space="preserve"> en Facebook Live, y una vez agotado el orden del día y atendidas las preguntas formuladas por la ciudadanía, la Gerente Natali Mosquera Narváez declaró formalmente terminada la Audiencia Pública de Rendición de Cuentas – Vigencia 2025.</w:t>
      </w:r>
      <w:r w:rsidRPr="00E56BBA" w:rsidR="00E56BBA">
        <w:rPr>
          <w:lang w:val="es-CO"/>
        </w:rPr>
        <w:t xml:space="preserve"> Se deja constancia de que la transmisión en vivo finalizó antes del cierre presencial del evento, mientras que el espacio institucional continuó hasta completar la atención de la agenda y el cierre protocolario.</w:t>
      </w:r>
    </w:p>
    <w:p w:rsidRPr="006D1556" w:rsidR="002E3FA8" w:rsidRDefault="005F28D9" w14:paraId="7E998F89" w14:textId="77777777">
      <w:pPr>
        <w:spacing w:after="60"/>
        <w:rPr>
          <w:rFonts w:cs="Arial"/>
          <w:szCs w:val="20"/>
          <w:lang w:val="es-CO"/>
        </w:rPr>
      </w:pPr>
      <w:r w:rsidRPr="006D1556">
        <w:rPr>
          <w:rFonts w:cs="Arial"/>
          <w:b/>
          <w:szCs w:val="20"/>
          <w:lang w:val="es-CO"/>
        </w:rPr>
        <w:t>Hora de cierre: 4:00 p.m.</w:t>
      </w:r>
    </w:p>
    <w:p w:rsidRPr="006D1556" w:rsidR="002E3FA8" w:rsidRDefault="005F28D9" w14:paraId="64246A1C" w14:textId="77777777">
      <w:pPr>
        <w:rPr>
          <w:rFonts w:cs="Arial"/>
          <w:szCs w:val="20"/>
          <w:lang w:val="es-CO"/>
        </w:rPr>
      </w:pPr>
      <w:r w:rsidRPr="006D1556">
        <w:rPr>
          <w:rFonts w:cs="Arial"/>
          <w:szCs w:val="20"/>
          <w:lang w:val="es-CO"/>
        </w:rPr>
        <w:t>Se convocó a la ciudadanía a continuar participando en los espacios de diálogo institucional y a mantenerse informada a través de los canales oficiales de la entidad.</w:t>
      </w:r>
    </w:p>
    <w:p w:rsidRPr="006D1556" w:rsidR="002E3FA8" w:rsidRDefault="005F28D9" w14:paraId="6407B160" w14:textId="77777777">
      <w:pPr>
        <w:pBdr>
          <w:bottom w:val="single" w:color="2E5496" w:sz="6" w:space="2"/>
        </w:pBdr>
        <w:spacing w:before="200"/>
        <w:jc w:val="left"/>
        <w:rPr>
          <w:rFonts w:cs="Arial"/>
          <w:szCs w:val="20"/>
          <w:lang w:val="es-CO"/>
        </w:rPr>
      </w:pPr>
      <w:r w:rsidRPr="006D1556">
        <w:rPr>
          <w:rFonts w:cs="Arial"/>
          <w:b/>
          <w:color w:val="2E5496"/>
          <w:szCs w:val="20"/>
          <w:lang w:val="es-CO"/>
        </w:rPr>
        <w:t>12. CONSOLIDACIÓN Y CIERRE DEL INFORME</w:t>
      </w:r>
    </w:p>
    <w:p w:rsidR="002E3FA8" w:rsidP="10C93EC1" w:rsidRDefault="005F28D9" w14:paraId="162C9DB9" w14:textId="4172A9D5">
      <w:pPr>
        <w:rPr>
          <w:rFonts w:cs="Arial"/>
          <w:lang w:val="es-CO"/>
        </w:rPr>
      </w:pPr>
      <w:r w:rsidRPr="10C93EC1">
        <w:rPr>
          <w:rFonts w:cs="Arial"/>
          <w:lang w:val="es-CO"/>
        </w:rPr>
        <w:t xml:space="preserve">El presente informe fue consolidado y cerrado bajo el liderazgo de Angélica Del Pilar Lasso Montealegre, quien desde el 1.º de julio de 2026 asume el rol de Líder de Relacionamiento con el Ciudadano. Desde su perfil profesional en Sociología, Administración en Salud y Salud Pública, lideró la consolidación y el cierre del presente informe, integrando las oportunidades de mejora identificadas en junio de 2026, con el apoyo de Georgiana Chedraui, </w:t>
      </w:r>
      <w:r w:rsidRPr="10C93EC1" w:rsidR="00DE78ED">
        <w:rPr>
          <w:rFonts w:cs="Arial"/>
          <w:lang w:val="es-CO"/>
        </w:rPr>
        <w:t>referente</w:t>
      </w:r>
      <w:r w:rsidRPr="10C93EC1">
        <w:rPr>
          <w:rFonts w:cs="Arial"/>
          <w:lang w:val="es-CO"/>
        </w:rPr>
        <w:t xml:space="preserve"> de Atención Humanizada, quien brindó información clave para consolidar, mejorar y culminar el acta.</w:t>
      </w:r>
    </w:p>
    <w:p w:rsidR="00191D6C" w:rsidRDefault="00191D6C" w14:paraId="66EA3980" w14:textId="42ACDDA2">
      <w:pPr>
        <w:rPr>
          <w:rFonts w:cs="Arial"/>
          <w:szCs w:val="20"/>
          <w:lang w:val="es-CO"/>
        </w:rPr>
      </w:pPr>
    </w:p>
    <w:p w:rsidR="00191D6C" w:rsidRDefault="00191D6C" w14:paraId="7CBF6C89" w14:textId="56B3B80F">
      <w:pPr>
        <w:rPr>
          <w:rFonts w:cs="Arial"/>
          <w:szCs w:val="20"/>
          <w:lang w:val="es-CO"/>
        </w:rPr>
      </w:pPr>
    </w:p>
    <w:p w:rsidR="00191D6C" w:rsidRDefault="00191D6C" w14:paraId="47A8EDB1" w14:textId="36B37BC3">
      <w:pPr>
        <w:rPr>
          <w:rFonts w:cs="Arial"/>
          <w:szCs w:val="20"/>
          <w:lang w:val="es-CO"/>
        </w:rPr>
      </w:pPr>
    </w:p>
    <w:p w:rsidR="00191D6C" w:rsidRDefault="00191D6C" w14:paraId="1E9FC73A" w14:textId="72AAB84F">
      <w:pPr>
        <w:rPr>
          <w:rFonts w:cs="Arial"/>
          <w:szCs w:val="20"/>
          <w:lang w:val="es-CO"/>
        </w:rPr>
      </w:pPr>
    </w:p>
    <w:p w:rsidRPr="006D1556" w:rsidR="00191D6C" w:rsidRDefault="00191D6C" w14:paraId="1A6DB067" w14:textId="77777777">
      <w:pPr>
        <w:rPr>
          <w:rFonts w:cs="Arial"/>
          <w:szCs w:val="20"/>
          <w:lang w:val="es-CO"/>
        </w:rPr>
      </w:pPr>
    </w:p>
    <w:p w:rsidR="00815A96" w:rsidRDefault="001824D4" w14:paraId="5521B4E3" w14:textId="77777777">
      <w:pPr>
        <w:rPr>
          <w:lang w:val="es-CO"/>
        </w:rPr>
      </w:pPr>
      <w:r w:rsidRPr="001824D4">
        <w:rPr>
          <w:b/>
          <w:bCs/>
          <w:lang w:val="es-CO"/>
        </w:rPr>
        <w:t>Anexos del informe:</w:t>
      </w:r>
      <w:r w:rsidRPr="001824D4">
        <w:rPr>
          <w:lang w:val="es-CO"/>
        </w:rPr>
        <w:t xml:space="preserve"> </w:t>
      </w:r>
    </w:p>
    <w:p w:rsidR="00815A96" w:rsidRDefault="001824D4" w14:paraId="75AC4EC1" w14:textId="6E56355A">
      <w:pPr>
        <w:rPr>
          <w:lang w:val="es-CO"/>
        </w:rPr>
      </w:pPr>
      <w:r w:rsidRPr="001824D4">
        <w:rPr>
          <w:lang w:val="es-CO"/>
        </w:rPr>
        <w:t>Anexo 1. Evidencias de canales virtuales</w:t>
      </w:r>
      <w:r w:rsidR="00815A96">
        <w:rPr>
          <w:lang w:val="es-CO"/>
        </w:rPr>
        <w:t>.</w:t>
      </w:r>
    </w:p>
    <w:p w:rsidR="00815A96" w:rsidRDefault="001824D4" w14:paraId="6E3F6928" w14:textId="77777777">
      <w:pPr>
        <w:rPr>
          <w:lang w:val="es-CO"/>
        </w:rPr>
      </w:pPr>
      <w:r w:rsidRPr="001824D4">
        <w:rPr>
          <w:lang w:val="es-CO"/>
        </w:rPr>
        <w:t>Anexo 2. Evidencias de canales físicos</w:t>
      </w:r>
      <w:r w:rsidR="00815A96">
        <w:rPr>
          <w:lang w:val="es-CO"/>
        </w:rPr>
        <w:t>.</w:t>
      </w:r>
      <w:r w:rsidRPr="001824D4">
        <w:rPr>
          <w:lang w:val="es-CO"/>
        </w:rPr>
        <w:t xml:space="preserve"> </w:t>
      </w:r>
    </w:p>
    <w:p w:rsidR="00815A96" w:rsidRDefault="001824D4" w14:paraId="4F19EDB2" w14:textId="77777777">
      <w:pPr>
        <w:rPr>
          <w:lang w:val="es-CO"/>
        </w:rPr>
      </w:pPr>
      <w:r w:rsidRPr="001824D4">
        <w:rPr>
          <w:lang w:val="es-CO"/>
        </w:rPr>
        <w:t>Anexo 3. Difusión por grupos de WhatsApp</w:t>
      </w:r>
      <w:r w:rsidR="00815A96">
        <w:rPr>
          <w:lang w:val="es-CO"/>
        </w:rPr>
        <w:t>.</w:t>
      </w:r>
      <w:r w:rsidRPr="001824D4">
        <w:rPr>
          <w:lang w:val="es-CO"/>
        </w:rPr>
        <w:t xml:space="preserve"> </w:t>
      </w:r>
    </w:p>
    <w:p w:rsidR="00815A96" w:rsidRDefault="001824D4" w14:paraId="4BF5DEA1" w14:textId="77777777">
      <w:pPr>
        <w:rPr>
          <w:lang w:val="es-CO"/>
        </w:rPr>
      </w:pPr>
      <w:r w:rsidRPr="001824D4">
        <w:rPr>
          <w:lang w:val="es-CO"/>
        </w:rPr>
        <w:t xml:space="preserve">Anexo 4. </w:t>
      </w:r>
      <w:r w:rsidRPr="00001BF4">
        <w:rPr>
          <w:lang w:val="es-CO"/>
        </w:rPr>
        <w:t>Mesas de socialización y orientación comunitaria</w:t>
      </w:r>
      <w:r w:rsidR="00815A96">
        <w:rPr>
          <w:lang w:val="es-CO"/>
        </w:rPr>
        <w:t xml:space="preserve">. </w:t>
      </w:r>
    </w:p>
    <w:p w:rsidR="00815A96" w:rsidRDefault="001824D4" w14:paraId="108B846B" w14:textId="77777777">
      <w:pPr>
        <w:rPr>
          <w:lang w:val="es-CO"/>
        </w:rPr>
      </w:pPr>
      <w:r w:rsidRPr="00001BF4">
        <w:rPr>
          <w:lang w:val="es-CO"/>
        </w:rPr>
        <w:t>Anexo 5. Registro de asistencia</w:t>
      </w:r>
      <w:r w:rsidR="00815A96">
        <w:rPr>
          <w:lang w:val="es-CO"/>
        </w:rPr>
        <w:t xml:space="preserve">. </w:t>
      </w:r>
    </w:p>
    <w:p w:rsidR="00815A96" w:rsidRDefault="001824D4" w14:paraId="021FF0E1" w14:textId="77777777">
      <w:pPr>
        <w:rPr>
          <w:lang w:val="es-CO"/>
        </w:rPr>
      </w:pPr>
      <w:r w:rsidRPr="00001BF4">
        <w:rPr>
          <w:lang w:val="es-CO"/>
        </w:rPr>
        <w:t>Anexo 6. Encuesta de satisfacción y análisis de resultados</w:t>
      </w:r>
      <w:r w:rsidR="00815A96">
        <w:rPr>
          <w:lang w:val="es-CO"/>
        </w:rPr>
        <w:t xml:space="preserve">. </w:t>
      </w:r>
    </w:p>
    <w:p w:rsidR="00815A96" w:rsidRDefault="001824D4" w14:paraId="565B080E" w14:textId="77777777">
      <w:pPr>
        <w:rPr>
          <w:lang w:val="es-CO"/>
        </w:rPr>
      </w:pPr>
      <w:r w:rsidRPr="00001BF4">
        <w:rPr>
          <w:lang w:val="es-CO"/>
        </w:rPr>
        <w:t>Anexo 7. Registro fotográfico</w:t>
      </w:r>
      <w:r w:rsidR="00815A96">
        <w:rPr>
          <w:lang w:val="es-CO"/>
        </w:rPr>
        <w:t xml:space="preserve">. </w:t>
      </w:r>
    </w:p>
    <w:p w:rsidR="001824D4" w:rsidRDefault="001824D4" w14:paraId="28FE8270" w14:textId="29344C2C">
      <w:pPr>
        <w:rPr>
          <w:kern w:val="2"/>
          <w:szCs w:val="20"/>
          <w:lang w:val="es-CO" w:eastAsia="es-CO"/>
          <w14:ligatures w14:val="standardContextual"/>
        </w:rPr>
      </w:pPr>
      <w:r w:rsidRPr="00001BF4">
        <w:rPr>
          <w:lang w:val="es-CO"/>
        </w:rPr>
        <w:t>Anexo 8. Soportes de transmisión en vivo y métricas digitales.</w:t>
      </w:r>
    </w:p>
    <w:p w:rsidR="00846AFF" w:rsidRDefault="00846AFF" w14:paraId="72637564" w14:textId="77777777">
      <w:pPr>
        <w:rPr>
          <w:rFonts w:cs="Arial"/>
          <w:i/>
          <w:szCs w:val="20"/>
          <w:lang w:val="es-CO"/>
        </w:rPr>
      </w:pPr>
    </w:p>
    <w:p w:rsidR="00846AFF" w:rsidP="00846AFF" w:rsidRDefault="00846AFF" w14:paraId="2517518D" w14:textId="77777777">
      <w:pPr>
        <w:spacing w:line="240" w:lineRule="auto"/>
        <w:contextualSpacing/>
        <w:rPr>
          <w:rFonts w:cs="Arial"/>
          <w:i/>
          <w:szCs w:val="20"/>
          <w:lang w:val="es-CO"/>
        </w:rPr>
      </w:pPr>
    </w:p>
    <w:p w:rsidR="00846AFF" w:rsidP="00846AFF" w:rsidRDefault="00846AFF" w14:paraId="25F4AABD" w14:textId="77777777">
      <w:pPr>
        <w:pStyle w:val="BodyText"/>
        <w:spacing w:line="240" w:lineRule="auto"/>
        <w:contextualSpacing/>
        <w:rPr>
          <w:sz w:val="22"/>
          <w:lang w:val="es-CO"/>
        </w:rPr>
      </w:pPr>
    </w:p>
    <w:p w:rsidR="00846AFF" w:rsidP="00846AFF" w:rsidRDefault="00846AFF" w14:paraId="59C57B58" w14:textId="77777777">
      <w:pPr>
        <w:pStyle w:val="BodyText"/>
        <w:spacing w:line="240" w:lineRule="auto"/>
        <w:contextualSpacing/>
        <w:rPr>
          <w:sz w:val="22"/>
          <w:lang w:val="es-CO"/>
        </w:rPr>
      </w:pPr>
    </w:p>
    <w:p w:rsidR="00846AFF" w:rsidP="00846AFF" w:rsidRDefault="00846AFF" w14:paraId="5F775BFD" w14:textId="77777777">
      <w:pPr>
        <w:pStyle w:val="BodyText"/>
        <w:spacing w:line="240" w:lineRule="auto"/>
        <w:contextualSpacing/>
        <w:rPr>
          <w:sz w:val="22"/>
          <w:lang w:val="es-CO"/>
        </w:rPr>
      </w:pPr>
    </w:p>
    <w:p w:rsidR="00846AFF" w:rsidP="00846AFF" w:rsidRDefault="00846AFF" w14:paraId="7F324D3E" w14:textId="77777777">
      <w:pPr>
        <w:pStyle w:val="BodyText"/>
        <w:spacing w:line="240" w:lineRule="auto"/>
        <w:contextualSpacing/>
        <w:rPr>
          <w:sz w:val="22"/>
          <w:lang w:val="es-CO"/>
        </w:rPr>
      </w:pPr>
    </w:p>
    <w:p w:rsidR="00846AFF" w:rsidP="00846AFF" w:rsidRDefault="00846AFF" w14:paraId="36E84499" w14:textId="77777777">
      <w:pPr>
        <w:pStyle w:val="BodyText"/>
        <w:spacing w:line="240" w:lineRule="auto"/>
        <w:contextualSpacing/>
        <w:rPr>
          <w:sz w:val="22"/>
          <w:lang w:val="es-CO"/>
        </w:rPr>
      </w:pPr>
    </w:p>
    <w:p w:rsidR="00846AFF" w:rsidP="00846AFF" w:rsidRDefault="00846AFF" w14:paraId="1626F337" w14:textId="77777777">
      <w:pPr>
        <w:pStyle w:val="BodyText"/>
        <w:spacing w:line="240" w:lineRule="auto"/>
        <w:contextualSpacing/>
        <w:rPr>
          <w:sz w:val="22"/>
          <w:lang w:val="es-CO"/>
        </w:rPr>
      </w:pPr>
    </w:p>
    <w:p w:rsidR="00846AFF" w:rsidP="00846AFF" w:rsidRDefault="00846AFF" w14:paraId="024A7D5C" w14:textId="77777777">
      <w:pPr>
        <w:pStyle w:val="BodyText"/>
        <w:spacing w:line="240" w:lineRule="auto"/>
        <w:contextualSpacing/>
        <w:rPr>
          <w:sz w:val="22"/>
          <w:lang w:val="es-CO"/>
        </w:rPr>
      </w:pPr>
    </w:p>
    <w:p w:rsidR="00846AFF" w:rsidP="00846AFF" w:rsidRDefault="00846AFF" w14:paraId="6E3B0E67" w14:textId="77777777">
      <w:pPr>
        <w:pStyle w:val="BodyText"/>
        <w:spacing w:line="240" w:lineRule="auto"/>
        <w:contextualSpacing/>
        <w:rPr>
          <w:sz w:val="22"/>
          <w:lang w:val="es-CO"/>
        </w:rPr>
      </w:pPr>
    </w:p>
    <w:p w:rsidR="00846AFF" w:rsidP="00846AFF" w:rsidRDefault="00846AFF" w14:paraId="40E6E1B4" w14:textId="77777777">
      <w:pPr>
        <w:pStyle w:val="BodyText"/>
        <w:spacing w:line="240" w:lineRule="auto"/>
        <w:contextualSpacing/>
        <w:rPr>
          <w:sz w:val="22"/>
          <w:lang w:val="es-CO"/>
        </w:rPr>
      </w:pPr>
    </w:p>
    <w:p w:rsidR="00846AFF" w:rsidP="00846AFF" w:rsidRDefault="00846AFF" w14:paraId="2A8AD5E0" w14:textId="77777777">
      <w:pPr>
        <w:pStyle w:val="BodyText"/>
        <w:spacing w:line="240" w:lineRule="auto"/>
        <w:contextualSpacing/>
        <w:rPr>
          <w:sz w:val="22"/>
          <w:lang w:val="es-CO"/>
        </w:rPr>
      </w:pPr>
    </w:p>
    <w:p w:rsidR="00846AFF" w:rsidP="00846AFF" w:rsidRDefault="00846AFF" w14:paraId="2C16D9B2" w14:textId="77777777">
      <w:pPr>
        <w:pStyle w:val="BodyText"/>
        <w:spacing w:line="240" w:lineRule="auto"/>
        <w:contextualSpacing/>
        <w:rPr>
          <w:sz w:val="22"/>
          <w:lang w:val="es-CO"/>
        </w:rPr>
      </w:pPr>
    </w:p>
    <w:p w:rsidR="00846AFF" w:rsidP="4358E2AD" w:rsidRDefault="00846AFF" w14:paraId="3518A87E" w14:textId="77777777">
      <w:pPr>
        <w:pStyle w:val="BodyText"/>
        <w:spacing w:line="240" w:lineRule="auto"/>
        <w:contextualSpacing/>
        <w:rPr>
          <w:sz w:val="22"/>
          <w:lang w:val="es-CO"/>
        </w:rPr>
      </w:pPr>
    </w:p>
    <w:p w:rsidR="00846AFF" w:rsidP="00846AFF" w:rsidRDefault="00846AFF" w14:paraId="62906E4A" w14:textId="77777777">
      <w:pPr>
        <w:pStyle w:val="BodyText"/>
        <w:spacing w:line="240" w:lineRule="auto"/>
        <w:contextualSpacing/>
        <w:rPr>
          <w:sz w:val="22"/>
          <w:lang w:val="es-CO"/>
        </w:rPr>
      </w:pPr>
    </w:p>
    <w:p w:rsidRPr="00846AFF" w:rsidR="00846AFF" w:rsidP="00846AFF" w:rsidRDefault="00846AFF" w14:paraId="70557177" w14:textId="3E4E72A1">
      <w:pPr>
        <w:pStyle w:val="BodyText"/>
        <w:spacing w:line="240" w:lineRule="auto"/>
        <w:contextualSpacing/>
        <w:rPr>
          <w:b/>
          <w:bCs/>
          <w:sz w:val="22"/>
          <w:lang w:val="es-CO"/>
        </w:rPr>
      </w:pPr>
      <w:r w:rsidRPr="00846AFF">
        <w:rPr>
          <w:b/>
          <w:bCs/>
          <w:sz w:val="22"/>
          <w:lang w:val="es-CO"/>
        </w:rPr>
        <w:t>Natali Mosquera Narvaez</w:t>
      </w:r>
    </w:p>
    <w:p w:rsidRPr="00846AFF" w:rsidR="00846AFF" w:rsidP="00846AFF" w:rsidRDefault="00846AFF" w14:paraId="18EED852" w14:textId="77777777">
      <w:pPr>
        <w:pStyle w:val="BodyText"/>
        <w:spacing w:line="240" w:lineRule="auto"/>
        <w:contextualSpacing/>
        <w:rPr>
          <w:sz w:val="22"/>
          <w:lang w:val="es-CO"/>
        </w:rPr>
      </w:pPr>
      <w:r w:rsidRPr="00846AFF">
        <w:rPr>
          <w:sz w:val="22"/>
          <w:lang w:val="es-CO"/>
        </w:rPr>
        <w:t>Gerente</w:t>
      </w:r>
    </w:p>
    <w:p w:rsidRPr="00846AFF" w:rsidR="00846AFF" w:rsidP="00846AFF" w:rsidRDefault="00846AFF" w14:paraId="1DED7F75" w14:textId="77777777">
      <w:pPr>
        <w:pStyle w:val="BodyText"/>
        <w:spacing w:line="240" w:lineRule="auto"/>
        <w:contextualSpacing/>
        <w:rPr>
          <w:spacing w:val="-4"/>
          <w:sz w:val="22"/>
          <w:lang w:val="es-CO"/>
        </w:rPr>
      </w:pPr>
      <w:r w:rsidRPr="00846AFF">
        <w:rPr>
          <w:sz w:val="22"/>
          <w:lang w:val="es-CO"/>
        </w:rPr>
        <w:t>Red</w:t>
      </w:r>
      <w:r w:rsidRPr="00846AFF">
        <w:rPr>
          <w:spacing w:val="-4"/>
          <w:sz w:val="22"/>
          <w:lang w:val="es-CO"/>
        </w:rPr>
        <w:t xml:space="preserve"> </w:t>
      </w:r>
      <w:r w:rsidRPr="00846AFF">
        <w:rPr>
          <w:sz w:val="22"/>
          <w:lang w:val="es-CO"/>
        </w:rPr>
        <w:t>de</w:t>
      </w:r>
      <w:r w:rsidRPr="00846AFF">
        <w:rPr>
          <w:spacing w:val="-4"/>
          <w:sz w:val="22"/>
          <w:lang w:val="es-CO"/>
        </w:rPr>
        <w:t xml:space="preserve"> </w:t>
      </w:r>
      <w:r w:rsidRPr="00846AFF">
        <w:rPr>
          <w:sz w:val="22"/>
          <w:lang w:val="es-CO"/>
        </w:rPr>
        <w:t>Salud</w:t>
      </w:r>
      <w:r w:rsidRPr="00846AFF">
        <w:rPr>
          <w:spacing w:val="-3"/>
          <w:sz w:val="22"/>
          <w:lang w:val="es-CO"/>
        </w:rPr>
        <w:t xml:space="preserve"> </w:t>
      </w:r>
      <w:r w:rsidRPr="00846AFF">
        <w:rPr>
          <w:sz w:val="22"/>
          <w:lang w:val="es-CO"/>
        </w:rPr>
        <w:t>del</w:t>
      </w:r>
      <w:r w:rsidRPr="00846AFF">
        <w:rPr>
          <w:spacing w:val="-4"/>
          <w:sz w:val="22"/>
          <w:lang w:val="es-CO"/>
        </w:rPr>
        <w:t xml:space="preserve"> </w:t>
      </w:r>
      <w:r w:rsidRPr="00846AFF">
        <w:rPr>
          <w:sz w:val="22"/>
          <w:lang w:val="es-CO"/>
        </w:rPr>
        <w:t>Centro</w:t>
      </w:r>
      <w:r w:rsidRPr="00846AFF">
        <w:rPr>
          <w:spacing w:val="-5"/>
          <w:sz w:val="22"/>
          <w:lang w:val="es-CO"/>
        </w:rPr>
        <w:t xml:space="preserve"> </w:t>
      </w:r>
      <w:r w:rsidRPr="00846AFF">
        <w:rPr>
          <w:spacing w:val="-4"/>
          <w:sz w:val="22"/>
          <w:lang w:val="es-CO"/>
        </w:rPr>
        <w:t>E.S.E</w:t>
      </w:r>
    </w:p>
    <w:p w:rsidRPr="00846AFF" w:rsidR="00846AFF" w:rsidP="00846AFF" w:rsidRDefault="00846AFF" w14:paraId="3B3F71CA" w14:textId="77777777">
      <w:pPr>
        <w:pStyle w:val="BodyText"/>
        <w:spacing w:line="252" w:lineRule="exact"/>
        <w:rPr>
          <w:sz w:val="22"/>
          <w:lang w:val="es-CO"/>
        </w:rPr>
      </w:pPr>
    </w:p>
    <w:tbl>
      <w:tblPr>
        <w:tblStyle w:val="TableNormal1"/>
        <w:tblW w:w="9649" w:type="dxa"/>
        <w:tblInd w:w="-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1E0" w:firstRow="1" w:lastRow="1" w:firstColumn="1" w:lastColumn="1" w:noHBand="0" w:noVBand="0"/>
      </w:tblPr>
      <w:tblGrid>
        <w:gridCol w:w="900"/>
        <w:gridCol w:w="2737"/>
        <w:gridCol w:w="3570"/>
        <w:gridCol w:w="2442"/>
      </w:tblGrid>
      <w:tr w:rsidR="00846AFF" w:rsidTr="4AE9F973" w14:paraId="06A4D0E5" w14:textId="77777777">
        <w:trPr>
          <w:trHeight w:val="450"/>
        </w:trPr>
        <w:tc>
          <w:tcPr>
            <w:tcW w:w="900" w:type="dxa"/>
            <w:tcMar/>
            <w:vAlign w:val="center"/>
          </w:tcPr>
          <w:p w:rsidRPr="00A6067D" w:rsidR="00846AFF" w:rsidP="00F730F6" w:rsidRDefault="00846AFF" w14:paraId="0BFD1466" w14:textId="77777777">
            <w:pPr>
              <w:pStyle w:val="TableParagraph"/>
              <w:spacing w:before="0"/>
              <w:ind w:left="0"/>
              <w:jc w:val="center"/>
              <w:rPr>
                <w:rFonts w:ascii="Times New Roman"/>
                <w:sz w:val="18"/>
                <w:lang w:val="es-CO"/>
              </w:rPr>
            </w:pPr>
          </w:p>
        </w:tc>
        <w:tc>
          <w:tcPr>
            <w:tcW w:w="2737" w:type="dxa"/>
            <w:tcMar/>
            <w:vAlign w:val="center"/>
          </w:tcPr>
          <w:p w:rsidR="00846AFF" w:rsidP="00F730F6" w:rsidRDefault="00846AFF" w14:paraId="07044182" w14:textId="77777777">
            <w:pPr>
              <w:pStyle w:val="TableParagraph"/>
              <w:spacing w:before="72"/>
              <w:ind w:left="3" w:right="1"/>
              <w:jc w:val="center"/>
              <w:rPr>
                <w:rFonts w:ascii="Arial"/>
                <w:b/>
                <w:i/>
                <w:sz w:val="14"/>
              </w:rPr>
            </w:pPr>
            <w:r>
              <w:rPr>
                <w:rFonts w:ascii="Arial"/>
                <w:b/>
                <w:i/>
                <w:spacing w:val="-2"/>
                <w:sz w:val="14"/>
              </w:rPr>
              <w:t>Nombre</w:t>
            </w:r>
          </w:p>
        </w:tc>
        <w:tc>
          <w:tcPr>
            <w:tcW w:w="3570" w:type="dxa"/>
            <w:tcMar/>
            <w:vAlign w:val="center"/>
          </w:tcPr>
          <w:p w:rsidR="00846AFF" w:rsidP="00F730F6" w:rsidRDefault="00846AFF" w14:paraId="4951D166" w14:textId="77777777">
            <w:pPr>
              <w:pStyle w:val="TableParagraph"/>
              <w:spacing w:before="72"/>
              <w:ind w:left="5"/>
              <w:jc w:val="center"/>
              <w:rPr>
                <w:rFonts w:ascii="Arial"/>
                <w:b/>
                <w:i/>
                <w:sz w:val="14"/>
              </w:rPr>
            </w:pPr>
            <w:r>
              <w:rPr>
                <w:rFonts w:ascii="Arial"/>
                <w:b/>
                <w:i/>
                <w:sz w:val="14"/>
              </w:rPr>
              <w:t>Cargo</w:t>
            </w:r>
            <w:r>
              <w:rPr>
                <w:rFonts w:ascii="Arial"/>
                <w:b/>
                <w:i/>
                <w:spacing w:val="-6"/>
                <w:sz w:val="14"/>
              </w:rPr>
              <w:t xml:space="preserve"> </w:t>
            </w:r>
            <w:r>
              <w:rPr>
                <w:rFonts w:ascii="Arial"/>
                <w:b/>
                <w:i/>
                <w:sz w:val="14"/>
              </w:rPr>
              <w:t>y/o</w:t>
            </w:r>
            <w:r>
              <w:rPr>
                <w:rFonts w:ascii="Arial"/>
                <w:b/>
                <w:i/>
                <w:spacing w:val="-4"/>
                <w:sz w:val="14"/>
              </w:rPr>
              <w:t xml:space="preserve"> </w:t>
            </w:r>
            <w:r>
              <w:rPr>
                <w:rFonts w:ascii="Arial"/>
                <w:b/>
                <w:i/>
                <w:spacing w:val="-2"/>
                <w:sz w:val="14"/>
              </w:rPr>
              <w:t>actividad</w:t>
            </w:r>
          </w:p>
        </w:tc>
        <w:tc>
          <w:tcPr>
            <w:tcW w:w="2442" w:type="dxa"/>
            <w:tcMar/>
            <w:vAlign w:val="center"/>
          </w:tcPr>
          <w:p w:rsidR="00846AFF" w:rsidP="00F730F6" w:rsidRDefault="00846AFF" w14:paraId="62DB003B" w14:textId="77777777">
            <w:pPr>
              <w:pStyle w:val="TableParagraph"/>
              <w:spacing w:before="72"/>
              <w:ind w:left="0"/>
              <w:jc w:val="center"/>
              <w:rPr>
                <w:rFonts w:ascii="Arial"/>
                <w:b/>
                <w:i/>
                <w:sz w:val="14"/>
              </w:rPr>
            </w:pPr>
            <w:r>
              <w:rPr>
                <w:rFonts w:ascii="Arial"/>
                <w:b/>
                <w:i/>
                <w:spacing w:val="-2"/>
                <w:sz w:val="14"/>
              </w:rPr>
              <w:t>Firma</w:t>
            </w:r>
          </w:p>
        </w:tc>
      </w:tr>
      <w:tr w:rsidRPr="00846AFF" w:rsidR="00846AFF" w:rsidTr="4AE9F973" w14:paraId="7E5FD209" w14:textId="77777777">
        <w:trPr>
          <w:trHeight w:val="306"/>
        </w:trPr>
        <w:tc>
          <w:tcPr>
            <w:tcW w:w="900" w:type="dxa"/>
            <w:tcMar/>
            <w:vAlign w:val="center"/>
          </w:tcPr>
          <w:p w:rsidR="00846AFF" w:rsidP="00846AFF" w:rsidRDefault="00846AFF" w14:paraId="64095EA5" w14:textId="02222073">
            <w:pPr>
              <w:pStyle w:val="TableParagraph"/>
              <w:spacing w:before="72"/>
              <w:ind w:left="8"/>
              <w:jc w:val="center"/>
              <w:rPr>
                <w:rFonts w:ascii="Arial"/>
                <w:b/>
                <w:i/>
                <w:spacing w:val="-2"/>
                <w:sz w:val="14"/>
              </w:rPr>
            </w:pPr>
            <w:r w:rsidRPr="00846AFF">
              <w:rPr>
                <w:rFonts w:ascii="Arial"/>
                <w:b/>
                <w:i/>
                <w:spacing w:val="-2"/>
                <w:sz w:val="14"/>
              </w:rPr>
              <w:t>Elabor</w:t>
            </w:r>
            <w:r w:rsidRPr="00846AFF">
              <w:rPr>
                <w:rFonts w:ascii="Arial"/>
                <w:b/>
                <w:i/>
                <w:spacing w:val="-2"/>
                <w:sz w:val="14"/>
              </w:rPr>
              <w:t>ó</w:t>
            </w:r>
          </w:p>
        </w:tc>
        <w:tc>
          <w:tcPr>
            <w:tcW w:w="2737" w:type="dxa"/>
            <w:tcMar/>
            <w:vAlign w:val="center"/>
          </w:tcPr>
          <w:p w:rsidRPr="00846AFF" w:rsidR="00846AFF" w:rsidP="00846AFF" w:rsidRDefault="00846AFF" w14:paraId="5680CD8F" w14:textId="55B8593F">
            <w:pPr>
              <w:pStyle w:val="TableParagraph"/>
              <w:spacing w:before="72"/>
              <w:ind w:left="3"/>
              <w:jc w:val="center"/>
              <w:rPr>
                <w:rFonts w:ascii="Arial"/>
                <w:b/>
                <w:i/>
                <w:spacing w:val="-2"/>
                <w:sz w:val="14"/>
              </w:rPr>
            </w:pPr>
            <w:r w:rsidRPr="00846AFF">
              <w:rPr>
                <w:rFonts w:ascii="Arial"/>
                <w:b/>
                <w:i/>
                <w:spacing w:val="-2"/>
                <w:sz w:val="14"/>
              </w:rPr>
              <w:t>Ang</w:t>
            </w:r>
            <w:r w:rsidRPr="00846AFF">
              <w:rPr>
                <w:rFonts w:ascii="Arial"/>
                <w:b/>
                <w:i/>
                <w:spacing w:val="-2"/>
                <w:sz w:val="14"/>
              </w:rPr>
              <w:t>é</w:t>
            </w:r>
            <w:r w:rsidRPr="00846AFF">
              <w:rPr>
                <w:rFonts w:ascii="Arial"/>
                <w:b/>
                <w:i/>
                <w:spacing w:val="-2"/>
                <w:sz w:val="14"/>
              </w:rPr>
              <w:t>lica Del Pilar Lasso Montealegre</w:t>
            </w:r>
          </w:p>
        </w:tc>
        <w:tc>
          <w:tcPr>
            <w:tcW w:w="3570" w:type="dxa"/>
            <w:tcMar/>
            <w:vAlign w:val="center"/>
          </w:tcPr>
          <w:p w:rsidRPr="00846AFF" w:rsidR="00846AFF" w:rsidP="00846AFF" w:rsidRDefault="00846AFF" w14:paraId="265ADD30" w14:textId="7425FA95">
            <w:pPr>
              <w:pStyle w:val="TableParagraph"/>
              <w:spacing w:before="72"/>
              <w:ind w:left="5" w:right="2"/>
              <w:jc w:val="center"/>
              <w:rPr>
                <w:rFonts w:ascii="Arial"/>
                <w:b/>
                <w:i/>
                <w:spacing w:val="-2"/>
                <w:sz w:val="14"/>
              </w:rPr>
            </w:pPr>
            <w:r w:rsidRPr="00846AFF">
              <w:rPr>
                <w:rFonts w:ascii="Arial"/>
                <w:b/>
                <w:i/>
                <w:spacing w:val="-2"/>
                <w:sz w:val="14"/>
              </w:rPr>
              <w:t>L</w:t>
            </w:r>
            <w:r w:rsidRPr="00846AFF">
              <w:rPr>
                <w:rFonts w:ascii="Arial"/>
                <w:b/>
                <w:i/>
                <w:spacing w:val="-2"/>
                <w:sz w:val="14"/>
              </w:rPr>
              <w:t>í</w:t>
            </w:r>
            <w:r w:rsidRPr="00846AFF">
              <w:rPr>
                <w:rFonts w:ascii="Arial"/>
                <w:b/>
                <w:i/>
                <w:spacing w:val="-2"/>
                <w:sz w:val="14"/>
              </w:rPr>
              <w:t>der de Relacionamiento con el Ciudadano</w:t>
            </w:r>
          </w:p>
        </w:tc>
        <w:tc>
          <w:tcPr>
            <w:tcW w:w="2442" w:type="dxa"/>
            <w:tcMar/>
            <w:vAlign w:val="center"/>
          </w:tcPr>
          <w:p w:rsidR="00846AFF" w:rsidP="00846AFF" w:rsidRDefault="00846AFF" w14:paraId="06E4460B" w14:textId="76613BBB">
            <w:pPr>
              <w:pStyle w:val="TableParagraph"/>
              <w:spacing w:before="1"/>
              <w:ind w:left="0"/>
              <w:jc w:val="center"/>
              <w:rPr>
                <w:noProof/>
              </w:rPr>
            </w:pPr>
            <w:r w:rsidR="2C244A45">
              <w:drawing>
                <wp:inline wp14:editId="3E16C414" wp14:anchorId="0B3D5DC3">
                  <wp:extent cx="1435543" cy="267031"/>
                  <wp:effectExtent l="0" t="0" r="0" b="0"/>
                  <wp:docPr id="4" name="Imagen 4"/>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 name="Captura de pantalla 2026-07-23 145510.png"/>
                          <pic:cNvPicPr/>
                        </pic:nvPicPr>
                        <pic:blipFill>
                          <a:blip xmlns:r="http://schemas.openxmlformats.org/officeDocument/2006/relationships" r:embed="rId21"/>
                          <a:stretch>
                            <a:fillRect/>
                          </a:stretch>
                        </pic:blipFill>
                        <pic:spPr>
                          <a:xfrm rot="0">
                            <a:off x="0" y="0"/>
                            <a:ext cx="1435543" cy="267031"/>
                          </a:xfrm>
                          <a:prstGeom prst="rect">
                            <a:avLst/>
                          </a:prstGeom>
                        </pic:spPr>
                      </pic:pic>
                    </a:graphicData>
                  </a:graphic>
                </wp:inline>
              </w:drawing>
            </w:r>
          </w:p>
        </w:tc>
      </w:tr>
      <w:tr w:rsidRPr="00846AFF" w:rsidR="00846AFF" w:rsidTr="4AE9F973" w14:paraId="0B381EFF" w14:textId="77777777">
        <w:trPr>
          <w:trHeight w:val="306"/>
        </w:trPr>
        <w:tc>
          <w:tcPr>
            <w:tcW w:w="900" w:type="dxa"/>
            <w:tcMar/>
            <w:vAlign w:val="center"/>
          </w:tcPr>
          <w:p w:rsidR="00846AFF" w:rsidP="00846AFF" w:rsidRDefault="00846AFF" w14:paraId="70374EA3" w14:textId="72439A0A">
            <w:pPr>
              <w:pStyle w:val="TableParagraph"/>
              <w:spacing w:before="72"/>
              <w:ind w:left="8"/>
              <w:jc w:val="center"/>
              <w:rPr>
                <w:rFonts w:ascii="Arial"/>
                <w:b/>
                <w:i/>
                <w:spacing w:val="-2"/>
                <w:sz w:val="14"/>
              </w:rPr>
            </w:pPr>
            <w:r w:rsidRPr="00846AFF">
              <w:rPr>
                <w:rFonts w:ascii="Arial"/>
                <w:b/>
                <w:i/>
                <w:spacing w:val="-2"/>
                <w:sz w:val="14"/>
              </w:rPr>
              <w:t>Apoy</w:t>
            </w:r>
            <w:r w:rsidRPr="00846AFF">
              <w:rPr>
                <w:rFonts w:ascii="Arial"/>
                <w:b/>
                <w:i/>
                <w:spacing w:val="-2"/>
                <w:sz w:val="14"/>
              </w:rPr>
              <w:t>ó</w:t>
            </w:r>
          </w:p>
        </w:tc>
        <w:tc>
          <w:tcPr>
            <w:tcW w:w="2737" w:type="dxa"/>
            <w:tcMar/>
            <w:vAlign w:val="center"/>
          </w:tcPr>
          <w:p w:rsidRPr="00846AFF" w:rsidR="00846AFF" w:rsidP="00846AFF" w:rsidRDefault="00846AFF" w14:paraId="14D0BB67" w14:textId="1C44A4E6">
            <w:pPr>
              <w:pStyle w:val="TableParagraph"/>
              <w:spacing w:before="72"/>
              <w:ind w:left="3"/>
              <w:jc w:val="center"/>
              <w:rPr>
                <w:rFonts w:ascii="Arial"/>
                <w:b/>
                <w:i/>
                <w:spacing w:val="-2"/>
                <w:sz w:val="14"/>
              </w:rPr>
            </w:pPr>
            <w:r w:rsidRPr="00846AFF">
              <w:rPr>
                <w:rFonts w:ascii="Arial"/>
                <w:b/>
                <w:i/>
                <w:spacing w:val="-2"/>
                <w:sz w:val="14"/>
              </w:rPr>
              <w:t>Georgiana Chedraui</w:t>
            </w:r>
          </w:p>
        </w:tc>
        <w:tc>
          <w:tcPr>
            <w:tcW w:w="3570" w:type="dxa"/>
            <w:tcMar/>
            <w:vAlign w:val="center"/>
          </w:tcPr>
          <w:p w:rsidRPr="00846AFF" w:rsidR="00846AFF" w:rsidP="00846AFF" w:rsidRDefault="00846AFF" w14:paraId="26B21F62" w14:textId="700B23EE">
            <w:pPr>
              <w:pStyle w:val="TableParagraph"/>
              <w:spacing w:before="72"/>
              <w:ind w:left="5" w:right="2"/>
              <w:jc w:val="center"/>
              <w:rPr>
                <w:rFonts w:ascii="Arial"/>
                <w:b/>
                <w:i/>
                <w:spacing w:val="-2"/>
                <w:sz w:val="14"/>
              </w:rPr>
            </w:pPr>
            <w:r w:rsidRPr="00846AFF">
              <w:rPr>
                <w:rFonts w:ascii="Arial"/>
                <w:b/>
                <w:i/>
                <w:spacing w:val="-2"/>
                <w:sz w:val="14"/>
              </w:rPr>
              <w:t>Referente de Enfoque de Humanizaci</w:t>
            </w:r>
            <w:r w:rsidRPr="00846AFF">
              <w:rPr>
                <w:rFonts w:ascii="Arial"/>
                <w:b/>
                <w:i/>
                <w:spacing w:val="-2"/>
                <w:sz w:val="14"/>
              </w:rPr>
              <w:t>ó</w:t>
            </w:r>
            <w:r w:rsidRPr="00846AFF">
              <w:rPr>
                <w:rFonts w:ascii="Arial"/>
                <w:b/>
                <w:i/>
                <w:spacing w:val="-2"/>
                <w:sz w:val="14"/>
              </w:rPr>
              <w:t>n</w:t>
            </w:r>
          </w:p>
        </w:tc>
        <w:tc>
          <w:tcPr>
            <w:tcW w:w="2442" w:type="dxa"/>
            <w:tcMar/>
            <w:vAlign w:val="center"/>
          </w:tcPr>
          <w:p w:rsidR="00846AFF" w:rsidP="00846AFF" w:rsidRDefault="00846AFF" w14:paraId="1A6AB896" w14:textId="0327E148">
            <w:pPr>
              <w:pStyle w:val="TableParagraph"/>
              <w:spacing w:before="1"/>
              <w:ind w:left="0"/>
              <w:jc w:val="center"/>
              <w:rPr>
                <w:noProof/>
              </w:rPr>
            </w:pPr>
            <w:r>
              <w:rPr>
                <w:noProof/>
              </w:rPr>
              <w:drawing>
                <wp:inline distT="0" distB="0" distL="0" distR="0" wp14:anchorId="2BFA27FA" wp14:editId="25CD9805">
                  <wp:extent cx="1266825" cy="343229"/>
                  <wp:effectExtent l="0" t="0" r="0" b="0"/>
                  <wp:docPr id="12617230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66825" cy="343229"/>
                          </a:xfrm>
                          <a:prstGeom prst="rect">
                            <a:avLst/>
                          </a:prstGeom>
                          <a:noFill/>
                          <a:ln>
                            <a:noFill/>
                          </a:ln>
                        </pic:spPr>
                      </pic:pic>
                    </a:graphicData>
                  </a:graphic>
                </wp:inline>
              </w:drawing>
            </w:r>
          </w:p>
        </w:tc>
      </w:tr>
      <w:tr w:rsidR="00846AFF" w:rsidTr="4AE9F973" w14:paraId="00702F5F" w14:textId="77777777">
        <w:trPr>
          <w:trHeight w:val="306"/>
        </w:trPr>
        <w:tc>
          <w:tcPr>
            <w:tcW w:w="900" w:type="dxa"/>
            <w:tcMar/>
            <w:vAlign w:val="center"/>
          </w:tcPr>
          <w:p w:rsidRPr="00846AFF" w:rsidR="00846AFF" w:rsidP="00F730F6" w:rsidRDefault="00846AFF" w14:paraId="7BEEA586" w14:textId="77777777">
            <w:pPr>
              <w:pStyle w:val="TableParagraph"/>
              <w:spacing w:before="72"/>
              <w:ind w:left="8"/>
              <w:jc w:val="center"/>
              <w:rPr>
                <w:rFonts w:ascii="Arial"/>
                <w:b/>
                <w:i/>
                <w:sz w:val="14"/>
              </w:rPr>
            </w:pPr>
            <w:r w:rsidRPr="00846AFF">
              <w:rPr>
                <w:rFonts w:ascii="Arial"/>
                <w:b/>
                <w:i/>
                <w:spacing w:val="-2"/>
                <w:sz w:val="14"/>
              </w:rPr>
              <w:t>Revis</w:t>
            </w:r>
            <w:r w:rsidRPr="00846AFF">
              <w:rPr>
                <w:rFonts w:ascii="Arial"/>
                <w:b/>
                <w:i/>
                <w:spacing w:val="-2"/>
                <w:sz w:val="14"/>
              </w:rPr>
              <w:t>ó</w:t>
            </w:r>
          </w:p>
        </w:tc>
        <w:tc>
          <w:tcPr>
            <w:tcW w:w="2737" w:type="dxa"/>
            <w:tcMar/>
            <w:vAlign w:val="center"/>
          </w:tcPr>
          <w:p w:rsidRPr="00846AFF" w:rsidR="00846AFF" w:rsidP="00F730F6" w:rsidRDefault="00846AFF" w14:paraId="0D50F8B3" w14:textId="77777777">
            <w:pPr>
              <w:pStyle w:val="TableParagraph"/>
              <w:spacing w:before="72"/>
              <w:ind w:left="3"/>
              <w:jc w:val="center"/>
              <w:rPr>
                <w:rFonts w:ascii="Arial"/>
                <w:b/>
                <w:i/>
                <w:sz w:val="14"/>
              </w:rPr>
            </w:pPr>
            <w:r w:rsidRPr="00846AFF">
              <w:rPr>
                <w:rFonts w:ascii="Arial"/>
                <w:b/>
                <w:i/>
                <w:sz w:val="14"/>
              </w:rPr>
              <w:t>Jhon</w:t>
            </w:r>
            <w:r w:rsidRPr="00846AFF">
              <w:rPr>
                <w:rFonts w:ascii="Arial"/>
                <w:b/>
                <w:i/>
                <w:spacing w:val="-5"/>
                <w:sz w:val="14"/>
              </w:rPr>
              <w:t xml:space="preserve"> </w:t>
            </w:r>
            <w:r w:rsidRPr="00846AFF">
              <w:rPr>
                <w:rFonts w:ascii="Arial"/>
                <w:b/>
                <w:i/>
                <w:sz w:val="14"/>
              </w:rPr>
              <w:t>Faber Ram</w:t>
            </w:r>
            <w:r w:rsidRPr="00846AFF">
              <w:rPr>
                <w:rFonts w:ascii="Arial"/>
                <w:b/>
                <w:i/>
                <w:sz w:val="14"/>
              </w:rPr>
              <w:t>í</w:t>
            </w:r>
            <w:r w:rsidRPr="00846AFF">
              <w:rPr>
                <w:rFonts w:ascii="Arial"/>
                <w:b/>
                <w:i/>
                <w:sz w:val="14"/>
              </w:rPr>
              <w:t>rez</w:t>
            </w:r>
            <w:r w:rsidRPr="00846AFF">
              <w:rPr>
                <w:rFonts w:ascii="Arial"/>
                <w:b/>
                <w:i/>
                <w:spacing w:val="-3"/>
                <w:sz w:val="14"/>
              </w:rPr>
              <w:t xml:space="preserve"> </w:t>
            </w:r>
            <w:r w:rsidRPr="00846AFF">
              <w:rPr>
                <w:rFonts w:ascii="Arial"/>
                <w:b/>
                <w:i/>
                <w:spacing w:val="-2"/>
                <w:sz w:val="14"/>
              </w:rPr>
              <w:t>Gracia</w:t>
            </w:r>
          </w:p>
        </w:tc>
        <w:tc>
          <w:tcPr>
            <w:tcW w:w="3570" w:type="dxa"/>
            <w:tcMar/>
            <w:vAlign w:val="center"/>
          </w:tcPr>
          <w:p w:rsidRPr="00846AFF" w:rsidR="00846AFF" w:rsidP="00F730F6" w:rsidRDefault="00846AFF" w14:paraId="7661979B" w14:textId="77777777">
            <w:pPr>
              <w:pStyle w:val="TableParagraph"/>
              <w:spacing w:before="72"/>
              <w:ind w:left="5" w:right="2"/>
              <w:jc w:val="center"/>
              <w:rPr>
                <w:rFonts w:ascii="Arial" w:hAnsi="Arial"/>
                <w:b/>
                <w:i/>
                <w:sz w:val="14"/>
              </w:rPr>
            </w:pPr>
            <w:r w:rsidRPr="00846AFF">
              <w:rPr>
                <w:rFonts w:ascii="Arial" w:hAnsi="Arial"/>
                <w:b/>
                <w:i/>
                <w:sz w:val="14"/>
              </w:rPr>
              <w:t xml:space="preserve">Subgerente </w:t>
            </w:r>
            <w:r w:rsidRPr="00846AFF">
              <w:rPr>
                <w:rFonts w:ascii="Arial" w:hAnsi="Arial"/>
                <w:b/>
                <w:i/>
                <w:spacing w:val="-2"/>
                <w:sz w:val="14"/>
              </w:rPr>
              <w:t>Científico</w:t>
            </w:r>
          </w:p>
        </w:tc>
        <w:tc>
          <w:tcPr>
            <w:tcW w:w="2442" w:type="dxa"/>
            <w:tcMar/>
            <w:vAlign w:val="center"/>
          </w:tcPr>
          <w:p w:rsidRPr="002156D4" w:rsidR="00846AFF" w:rsidP="4AE9F973" w:rsidRDefault="00846AFF" w14:paraId="19021870" w14:textId="77777777">
            <w:pPr>
              <w:pStyle w:val="TableParagraph"/>
              <w:spacing w:before="1"/>
              <w:ind w:left="0"/>
              <w:rPr>
                <w:rFonts w:ascii="Arial MT"/>
                <w:sz w:val="3"/>
                <w:szCs w:val="3"/>
              </w:rPr>
            </w:pPr>
            <w:r>
              <w:rPr>
                <w:noProof/>
              </w:rPr>
              <w:drawing>
                <wp:anchor distT="0" distB="0" distL="114300" distR="114300" simplePos="0" relativeHeight="251658240" behindDoc="1" locked="0" layoutInCell="1" allowOverlap="1" wp14:anchorId="04B37F54" wp14:editId="23629992">
                  <wp:simplePos x="0" y="0"/>
                  <wp:positionH relativeFrom="column">
                    <wp:posOffset>-1127760</wp:posOffset>
                  </wp:positionH>
                  <wp:positionV relativeFrom="paragraph">
                    <wp:posOffset>17780</wp:posOffset>
                  </wp:positionV>
                  <wp:extent cx="1279781" cy="226449"/>
                  <wp:effectExtent l="0" t="0" r="0" b="0"/>
                  <wp:wrapTight wrapText="bothSides">
                    <wp:wrapPolygon edited="0">
                      <wp:start x="0" y="0"/>
                      <wp:lineTo x="0" y="19636"/>
                      <wp:lineTo x="21195" y="19636"/>
                      <wp:lineTo x="21195" y="0"/>
                      <wp:lineTo x="0" y="0"/>
                    </wp:wrapPolygon>
                  </wp:wrapTight>
                  <wp:docPr id="1611402756" name="Picture 6"/>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23" cstate="print">
                            <a:extLst>
                              <a:ext uri="{28A0092B-C50C-407E-A947-70E740481C1C}">
                                <a14:useLocalDpi xmlns:a14="http://schemas.microsoft.com/office/drawing/2010/main"/>
                              </a:ext>
                            </a:extLst>
                          </a:blip>
                          <a:srcRect/>
                          <a:stretch>
                            <a:fillRect/>
                          </a:stretch>
                        </pic:blipFill>
                        <pic:spPr bwMode="auto">
                          <a:xfrm rot="0">
                            <a:off x="0" y="0"/>
                            <a:ext cx="1279781" cy="226449"/>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Pr="00846AFF" w:rsidR="00846AFF" w:rsidTr="4AE9F973" w14:paraId="302C0ADA" w14:textId="77777777">
        <w:trPr>
          <w:trHeight w:val="476"/>
        </w:trPr>
        <w:tc>
          <w:tcPr>
            <w:tcW w:w="9649" w:type="dxa"/>
            <w:gridSpan w:val="4"/>
            <w:tcMar/>
            <w:vAlign w:val="center"/>
          </w:tcPr>
          <w:p w:rsidRPr="00A6067D" w:rsidR="00846AFF" w:rsidP="00F730F6" w:rsidRDefault="00846AFF" w14:paraId="6AD60934" w14:textId="77777777">
            <w:pPr>
              <w:pStyle w:val="TableParagraph"/>
              <w:spacing w:before="0" w:line="160" w:lineRule="atLeast"/>
              <w:ind w:left="4"/>
              <w:rPr>
                <w:rFonts w:ascii="Arial"/>
                <w:i/>
                <w:sz w:val="14"/>
                <w:lang w:val="es-CO"/>
              </w:rPr>
            </w:pPr>
            <w:r w:rsidRPr="00A6067D">
              <w:rPr>
                <w:rFonts w:ascii="Arial"/>
                <w:i/>
                <w:sz w:val="14"/>
                <w:lang w:val="es-CO"/>
              </w:rPr>
              <w:t>Los</w:t>
            </w:r>
            <w:r w:rsidRPr="00A6067D">
              <w:rPr>
                <w:rFonts w:ascii="Arial"/>
                <w:i/>
                <w:spacing w:val="-4"/>
                <w:sz w:val="14"/>
                <w:lang w:val="es-CO"/>
              </w:rPr>
              <w:t xml:space="preserve"> </w:t>
            </w:r>
            <w:r w:rsidRPr="00A6067D">
              <w:rPr>
                <w:rFonts w:ascii="Arial"/>
                <w:i/>
                <w:sz w:val="14"/>
                <w:lang w:val="es-CO"/>
              </w:rPr>
              <w:t>arriba</w:t>
            </w:r>
            <w:r w:rsidRPr="00A6067D">
              <w:rPr>
                <w:rFonts w:ascii="Arial"/>
                <w:i/>
                <w:spacing w:val="-4"/>
                <w:sz w:val="14"/>
                <w:lang w:val="es-CO"/>
              </w:rPr>
              <w:t xml:space="preserve"> </w:t>
            </w:r>
            <w:r w:rsidRPr="00A6067D">
              <w:rPr>
                <w:rFonts w:ascii="Arial"/>
                <w:i/>
                <w:sz w:val="14"/>
                <w:lang w:val="es-CO"/>
              </w:rPr>
              <w:t>firmantes</w:t>
            </w:r>
            <w:r w:rsidRPr="00A6067D">
              <w:rPr>
                <w:rFonts w:ascii="Arial"/>
                <w:i/>
                <w:spacing w:val="-4"/>
                <w:sz w:val="14"/>
                <w:lang w:val="es-CO"/>
              </w:rPr>
              <w:t xml:space="preserve"> </w:t>
            </w:r>
            <w:r w:rsidRPr="00A6067D">
              <w:rPr>
                <w:rFonts w:ascii="Arial"/>
                <w:i/>
                <w:sz w:val="14"/>
                <w:lang w:val="es-CO"/>
              </w:rPr>
              <w:t>declaramos</w:t>
            </w:r>
            <w:r w:rsidRPr="00A6067D">
              <w:rPr>
                <w:rFonts w:ascii="Arial"/>
                <w:i/>
                <w:spacing w:val="-4"/>
                <w:sz w:val="14"/>
                <w:lang w:val="es-CO"/>
              </w:rPr>
              <w:t xml:space="preserve"> </w:t>
            </w:r>
            <w:r w:rsidRPr="00A6067D">
              <w:rPr>
                <w:rFonts w:ascii="Arial"/>
                <w:i/>
                <w:sz w:val="14"/>
                <w:lang w:val="es-CO"/>
              </w:rPr>
              <w:t>que</w:t>
            </w:r>
            <w:r w:rsidRPr="00A6067D">
              <w:rPr>
                <w:rFonts w:ascii="Arial"/>
                <w:i/>
                <w:spacing w:val="-4"/>
                <w:sz w:val="14"/>
                <w:lang w:val="es-CO"/>
              </w:rPr>
              <w:t xml:space="preserve"> </w:t>
            </w:r>
            <w:r w:rsidRPr="00A6067D">
              <w:rPr>
                <w:rFonts w:ascii="Arial"/>
                <w:i/>
                <w:sz w:val="14"/>
                <w:lang w:val="es-CO"/>
              </w:rPr>
              <w:t>hemos</w:t>
            </w:r>
            <w:r w:rsidRPr="00A6067D">
              <w:rPr>
                <w:rFonts w:ascii="Arial"/>
                <w:i/>
                <w:spacing w:val="-4"/>
                <w:sz w:val="14"/>
                <w:lang w:val="es-CO"/>
              </w:rPr>
              <w:t xml:space="preserve"> </w:t>
            </w:r>
            <w:r w:rsidRPr="00A6067D">
              <w:rPr>
                <w:rFonts w:ascii="Arial"/>
                <w:i/>
                <w:sz w:val="14"/>
                <w:lang w:val="es-CO"/>
              </w:rPr>
              <w:t>revisado</w:t>
            </w:r>
            <w:r w:rsidRPr="00A6067D">
              <w:rPr>
                <w:rFonts w:ascii="Arial"/>
                <w:i/>
                <w:spacing w:val="-4"/>
                <w:sz w:val="14"/>
                <w:lang w:val="es-CO"/>
              </w:rPr>
              <w:t xml:space="preserve"> </w:t>
            </w:r>
            <w:r w:rsidRPr="00A6067D">
              <w:rPr>
                <w:rFonts w:ascii="Arial"/>
                <w:i/>
                <w:sz w:val="14"/>
                <w:lang w:val="es-CO"/>
              </w:rPr>
              <w:t>el</w:t>
            </w:r>
            <w:r w:rsidRPr="00A6067D">
              <w:rPr>
                <w:rFonts w:ascii="Arial"/>
                <w:i/>
                <w:spacing w:val="-4"/>
                <w:sz w:val="14"/>
                <w:lang w:val="es-CO"/>
              </w:rPr>
              <w:t xml:space="preserve"> </w:t>
            </w:r>
            <w:r w:rsidRPr="00A6067D">
              <w:rPr>
                <w:rFonts w:ascii="Arial"/>
                <w:i/>
                <w:sz w:val="14"/>
                <w:lang w:val="es-CO"/>
              </w:rPr>
              <w:t>documento</w:t>
            </w:r>
            <w:r w:rsidRPr="00A6067D">
              <w:rPr>
                <w:rFonts w:ascii="Arial"/>
                <w:i/>
                <w:spacing w:val="-5"/>
                <w:sz w:val="14"/>
                <w:lang w:val="es-CO"/>
              </w:rPr>
              <w:t xml:space="preserve"> </w:t>
            </w:r>
            <w:r w:rsidRPr="00A6067D">
              <w:rPr>
                <w:rFonts w:ascii="Arial"/>
                <w:i/>
                <w:sz w:val="14"/>
                <w:lang w:val="es-CO"/>
              </w:rPr>
              <w:t>y</w:t>
            </w:r>
            <w:r w:rsidRPr="00A6067D">
              <w:rPr>
                <w:rFonts w:ascii="Arial"/>
                <w:i/>
                <w:spacing w:val="-4"/>
                <w:sz w:val="14"/>
                <w:lang w:val="es-CO"/>
              </w:rPr>
              <w:t xml:space="preserve"> </w:t>
            </w:r>
            <w:r w:rsidRPr="00A6067D">
              <w:rPr>
                <w:rFonts w:ascii="Arial"/>
                <w:i/>
                <w:sz w:val="14"/>
                <w:lang w:val="es-CO"/>
              </w:rPr>
              <w:t>lo</w:t>
            </w:r>
            <w:r w:rsidRPr="00A6067D">
              <w:rPr>
                <w:rFonts w:ascii="Arial"/>
                <w:i/>
                <w:spacing w:val="-2"/>
                <w:sz w:val="14"/>
                <w:lang w:val="es-CO"/>
              </w:rPr>
              <w:t xml:space="preserve"> </w:t>
            </w:r>
            <w:r w:rsidRPr="00A6067D">
              <w:rPr>
                <w:rFonts w:ascii="Arial"/>
                <w:i/>
                <w:sz w:val="14"/>
                <w:lang w:val="es-CO"/>
              </w:rPr>
              <w:t>encontramos</w:t>
            </w:r>
            <w:r w:rsidRPr="00A6067D">
              <w:rPr>
                <w:rFonts w:ascii="Arial"/>
                <w:i/>
                <w:spacing w:val="-4"/>
                <w:sz w:val="14"/>
                <w:lang w:val="es-CO"/>
              </w:rPr>
              <w:t xml:space="preserve"> </w:t>
            </w:r>
            <w:r w:rsidRPr="00A6067D">
              <w:rPr>
                <w:rFonts w:ascii="Arial"/>
                <w:i/>
                <w:sz w:val="14"/>
                <w:lang w:val="es-CO"/>
              </w:rPr>
              <w:t>ajustado</w:t>
            </w:r>
            <w:r w:rsidRPr="00A6067D">
              <w:rPr>
                <w:rFonts w:ascii="Arial"/>
                <w:i/>
                <w:spacing w:val="-4"/>
                <w:sz w:val="14"/>
                <w:lang w:val="es-CO"/>
              </w:rPr>
              <w:t xml:space="preserve"> </w:t>
            </w:r>
            <w:r w:rsidRPr="00A6067D">
              <w:rPr>
                <w:rFonts w:ascii="Arial"/>
                <w:i/>
                <w:sz w:val="14"/>
                <w:lang w:val="es-CO"/>
              </w:rPr>
              <w:t>a</w:t>
            </w:r>
            <w:r w:rsidRPr="00A6067D">
              <w:rPr>
                <w:rFonts w:ascii="Arial"/>
                <w:i/>
                <w:spacing w:val="-5"/>
                <w:sz w:val="14"/>
                <w:lang w:val="es-CO"/>
              </w:rPr>
              <w:t xml:space="preserve"> </w:t>
            </w:r>
            <w:r w:rsidRPr="00A6067D">
              <w:rPr>
                <w:rFonts w:ascii="Arial"/>
                <w:i/>
                <w:sz w:val="14"/>
                <w:lang w:val="es-CO"/>
              </w:rPr>
              <w:t>las</w:t>
            </w:r>
            <w:r w:rsidRPr="00A6067D">
              <w:rPr>
                <w:rFonts w:ascii="Arial"/>
                <w:i/>
                <w:spacing w:val="-4"/>
                <w:sz w:val="14"/>
                <w:lang w:val="es-CO"/>
              </w:rPr>
              <w:t xml:space="preserve"> </w:t>
            </w:r>
            <w:r w:rsidRPr="00A6067D">
              <w:rPr>
                <w:rFonts w:ascii="Arial"/>
                <w:i/>
                <w:sz w:val="14"/>
                <w:lang w:val="es-CO"/>
              </w:rPr>
              <w:t>normas</w:t>
            </w:r>
            <w:r w:rsidRPr="00A6067D">
              <w:rPr>
                <w:rFonts w:ascii="Arial"/>
                <w:i/>
                <w:spacing w:val="-4"/>
                <w:sz w:val="14"/>
                <w:lang w:val="es-CO"/>
              </w:rPr>
              <w:t xml:space="preserve"> </w:t>
            </w:r>
            <w:r w:rsidRPr="00A6067D">
              <w:rPr>
                <w:rFonts w:ascii="Arial"/>
                <w:i/>
                <w:sz w:val="14"/>
                <w:lang w:val="es-CO"/>
              </w:rPr>
              <w:t>disposiciones</w:t>
            </w:r>
            <w:r w:rsidRPr="00A6067D">
              <w:rPr>
                <w:rFonts w:ascii="Arial"/>
                <w:i/>
                <w:spacing w:val="-4"/>
                <w:sz w:val="14"/>
                <w:lang w:val="es-CO"/>
              </w:rPr>
              <w:t xml:space="preserve"> </w:t>
            </w:r>
            <w:r w:rsidRPr="00A6067D">
              <w:rPr>
                <w:rFonts w:ascii="Arial"/>
                <w:i/>
                <w:sz w:val="14"/>
                <w:lang w:val="es-CO"/>
              </w:rPr>
              <w:t>legales vigentes</w:t>
            </w:r>
            <w:r w:rsidRPr="00A6067D">
              <w:rPr>
                <w:rFonts w:ascii="Arial"/>
                <w:i/>
                <w:spacing w:val="-4"/>
                <w:sz w:val="14"/>
                <w:lang w:val="es-CO"/>
              </w:rPr>
              <w:t xml:space="preserve"> </w:t>
            </w:r>
            <w:r w:rsidRPr="00A6067D">
              <w:rPr>
                <w:rFonts w:ascii="Arial"/>
                <w:i/>
                <w:sz w:val="14"/>
                <w:lang w:val="es-CO"/>
              </w:rPr>
              <w:t>y;</w:t>
            </w:r>
            <w:r w:rsidRPr="00A6067D">
              <w:rPr>
                <w:rFonts w:ascii="Arial"/>
                <w:i/>
                <w:spacing w:val="-4"/>
                <w:sz w:val="14"/>
                <w:lang w:val="es-CO"/>
              </w:rPr>
              <w:t xml:space="preserve"> </w:t>
            </w:r>
            <w:r w:rsidRPr="00A6067D">
              <w:rPr>
                <w:rFonts w:ascii="Arial"/>
                <w:i/>
                <w:sz w:val="14"/>
                <w:lang w:val="es-CO"/>
              </w:rPr>
              <w:t>por</w:t>
            </w:r>
            <w:r w:rsidRPr="00A6067D">
              <w:rPr>
                <w:rFonts w:ascii="Arial"/>
                <w:i/>
                <w:spacing w:val="-4"/>
                <w:sz w:val="14"/>
                <w:lang w:val="es-CO"/>
              </w:rPr>
              <w:t xml:space="preserve"> </w:t>
            </w:r>
            <w:r w:rsidRPr="00A6067D">
              <w:rPr>
                <w:rFonts w:ascii="Arial"/>
                <w:i/>
                <w:sz w:val="14"/>
                <w:lang w:val="es-CO"/>
              </w:rPr>
              <w:t>lo</w:t>
            </w:r>
            <w:r w:rsidRPr="00A6067D">
              <w:rPr>
                <w:rFonts w:ascii="Arial"/>
                <w:i/>
                <w:spacing w:val="40"/>
                <w:sz w:val="14"/>
                <w:lang w:val="es-CO"/>
              </w:rPr>
              <w:t xml:space="preserve"> </w:t>
            </w:r>
            <w:r w:rsidRPr="00A6067D">
              <w:rPr>
                <w:rFonts w:ascii="Arial"/>
                <w:i/>
                <w:sz w:val="14"/>
                <w:lang w:val="es-CO"/>
              </w:rPr>
              <w:t>tanto, bajo nuestra responsabilidad lo presentamos para firma.</w:t>
            </w:r>
          </w:p>
        </w:tc>
      </w:tr>
    </w:tbl>
    <w:p w:rsidRPr="00846AFF" w:rsidR="00846AFF" w:rsidP="00846AFF" w:rsidRDefault="00846AFF" w14:paraId="24A90F0F" w14:textId="77777777">
      <w:pPr>
        <w:rPr>
          <w:rFonts w:cs="Arial"/>
          <w:color w:val="000000" w:themeColor="text1"/>
          <w:sz w:val="24"/>
          <w:szCs w:val="24"/>
          <w:lang w:val="es-CO"/>
        </w:rPr>
      </w:pPr>
    </w:p>
    <w:p w:rsidRPr="006D1556" w:rsidR="00846AFF" w:rsidRDefault="00846AFF" w14:paraId="2E9DA1D0" w14:textId="77777777">
      <w:pPr>
        <w:rPr>
          <w:rFonts w:cs="Arial"/>
          <w:szCs w:val="20"/>
          <w:lang w:val="es-CO"/>
        </w:rPr>
      </w:pPr>
    </w:p>
    <w:sectPr w:rsidRPr="006D1556" w:rsidR="00846AFF" w:rsidSect="00034616">
      <w:headerReference w:type="default" r:id="rId24"/>
      <w:footerReference w:type="default" r:id="rId25"/>
      <w:pgSz w:w="12240" w:h="15840" w:orient="portrait"/>
      <w:pgMar w:top="1656" w:right="1296"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09BC" w:rsidRDefault="001309BC" w14:paraId="0A873AC0" w14:textId="77777777">
      <w:pPr>
        <w:spacing w:after="0" w:line="240" w:lineRule="auto"/>
      </w:pPr>
      <w:r>
        <w:separator/>
      </w:r>
    </w:p>
  </w:endnote>
  <w:endnote w:type="continuationSeparator" w:id="0">
    <w:p w:rsidR="001309BC" w:rsidRDefault="001309BC" w14:paraId="03B5E3B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37D2A" w:rsidR="00A975E2" w:rsidRDefault="00A975E2" w14:paraId="2E9AD09F" w14:textId="77777777">
    <w:pPr>
      <w:pStyle w:val="Footer"/>
      <w:jc w:val="center"/>
      <w:rPr>
        <w:lang w:val="es-CO"/>
      </w:rPr>
    </w:pPr>
    <w:r w:rsidRPr="00137D2A">
      <w:rPr>
        <w:b/>
        <w:sz w:val="16"/>
        <w:lang w:val="es-CO"/>
      </w:rPr>
      <w:t>RED DE SALUD DEL CENTRO E.S.E.</w:t>
    </w:r>
  </w:p>
  <w:p w:rsidRPr="00137D2A" w:rsidR="00A975E2" w:rsidRDefault="00A975E2" w14:paraId="0442410D" w14:textId="77777777">
    <w:pPr>
      <w:jc w:val="center"/>
      <w:rPr>
        <w:lang w:val="es-CO"/>
      </w:rPr>
    </w:pPr>
    <w:r w:rsidRPr="00137D2A">
      <w:rPr>
        <w:color w:val="595959"/>
        <w:sz w:val="14"/>
        <w:lang w:val="es-CO"/>
      </w:rPr>
      <w:t>Sede Administrativa - IPS Diego Lalinde - Cra. 12E # 50-18 B/ Villacolombia. Distrito Especial de Santiago de Cali - Valle - PBX: (+57 602) 3120930</w:t>
    </w:r>
  </w:p>
  <w:p w:rsidRPr="00137D2A" w:rsidR="00A975E2" w:rsidRDefault="00A975E2" w14:paraId="7CC648AA" w14:textId="77777777">
    <w:pPr>
      <w:jc w:val="center"/>
      <w:rPr>
        <w:lang w:val="es-CO"/>
      </w:rPr>
    </w:pPr>
    <w:r w:rsidRPr="00137D2A">
      <w:rPr>
        <w:color w:val="595959"/>
        <w:sz w:val="14"/>
        <w:lang w:val="es-CO"/>
      </w:rPr>
      <w:t>E-mail: atencionalusuario@saludcentro.gov.co - evaluacionymejora@saludcentro.gov.co - gerencia@saludcentro.gov.co</w:t>
    </w:r>
  </w:p>
  <w:p w:rsidRPr="00137D2A" w:rsidR="00A975E2" w:rsidRDefault="00A975E2" w14:paraId="5DDEA3C2" w14:textId="5F7695B2">
    <w:pPr>
      <w:jc w:val="center"/>
      <w:rPr>
        <w:lang w:val="es-CO"/>
      </w:rPr>
    </w:pPr>
    <w:r w:rsidRPr="00137D2A">
      <w:rPr>
        <w:b/>
        <w:color w:val="1F3864"/>
        <w:sz w:val="16"/>
        <w:lang w:val="es-CO"/>
      </w:rPr>
      <w:t xml:space="preserve">“Por una salud más cercana, con excelencia y </w:t>
    </w:r>
    <w:r w:rsidRPr="00137D2A" w:rsidR="00815A96">
      <w:rPr>
        <w:b/>
        <w:color w:val="1F3864"/>
        <w:sz w:val="16"/>
        <w:lang w:val="es-CO"/>
      </w:rPr>
      <w:t xml:space="preserve">amor”  </w:t>
    </w:r>
    <w:r w:rsidRPr="00137D2A">
      <w:rPr>
        <w:b/>
        <w:color w:val="1F3864"/>
        <w:sz w:val="16"/>
        <w:lang w:val="es-CO"/>
      </w:rPr>
      <w:t>Nit. 805.027.261-3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09BC" w:rsidRDefault="001309BC" w14:paraId="1165AC44" w14:textId="77777777">
      <w:pPr>
        <w:spacing w:after="0" w:line="240" w:lineRule="auto"/>
      </w:pPr>
      <w:r>
        <w:separator/>
      </w:r>
    </w:p>
  </w:footnote>
  <w:footnote w:type="continuationSeparator" w:id="0">
    <w:p w:rsidR="001309BC" w:rsidRDefault="001309BC" w14:paraId="687F0EA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975E2" w:rsidRDefault="00A975E2" w14:paraId="56C87C40" w14:textId="77777777">
    <w:pPr>
      <w:pStyle w:val="Header"/>
    </w:pPr>
  </w:p>
  <w:tbl>
    <w:tblPr>
      <w:tblW w:w="0" w:type="auto"/>
      <w:jc w:val="center"/>
      <w:tblLook w:val="04A0" w:firstRow="1" w:lastRow="0" w:firstColumn="1" w:lastColumn="0" w:noHBand="0" w:noVBand="1"/>
    </w:tblPr>
    <w:tblGrid>
      <w:gridCol w:w="4824"/>
      <w:gridCol w:w="4824"/>
    </w:tblGrid>
    <w:tr w:rsidR="00A975E2" w14:paraId="3CBA2B1C" w14:textId="77777777">
      <w:trPr>
        <w:jc w:val="center"/>
      </w:trPr>
      <w:tc>
        <w:tcPr>
          <w:tcW w:w="4824" w:type="dxa"/>
          <w:tcBorders>
            <w:top w:val="nil"/>
            <w:left w:val="nil"/>
            <w:bottom w:val="nil"/>
            <w:right w:val="nil"/>
          </w:tcBorders>
        </w:tcPr>
        <w:p w:rsidR="00A975E2" w:rsidRDefault="00A975E2" w14:paraId="6453894D" w14:textId="77777777">
          <w:pPr>
            <w:jc w:val="left"/>
          </w:pPr>
          <w:r>
            <w:rPr>
              <w:noProof/>
            </w:rPr>
            <w:drawing>
              <wp:inline distT="0" distB="0" distL="0" distR="0" wp14:anchorId="689F8D82" wp14:editId="4C04A418">
                <wp:extent cx="1083997" cy="50292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eft.png"/>
                        <pic:cNvPicPr/>
                      </pic:nvPicPr>
                      <pic:blipFill>
                        <a:blip r:embed="rId1"/>
                        <a:stretch>
                          <a:fillRect/>
                        </a:stretch>
                      </pic:blipFill>
                      <pic:spPr>
                        <a:xfrm>
                          <a:off x="0" y="0"/>
                          <a:ext cx="1083997" cy="502920"/>
                        </a:xfrm>
                        <a:prstGeom prst="rect">
                          <a:avLst/>
                        </a:prstGeom>
                      </pic:spPr>
                    </pic:pic>
                  </a:graphicData>
                </a:graphic>
              </wp:inline>
            </w:drawing>
          </w:r>
        </w:p>
      </w:tc>
      <w:tc>
        <w:tcPr>
          <w:tcW w:w="4824" w:type="dxa"/>
          <w:tcBorders>
            <w:top w:val="nil"/>
            <w:left w:val="nil"/>
            <w:bottom w:val="nil"/>
            <w:right w:val="nil"/>
          </w:tcBorders>
        </w:tcPr>
        <w:p w:rsidR="00A975E2" w:rsidRDefault="00A975E2" w14:paraId="73C737F2" w14:textId="77777777">
          <w:pPr>
            <w:jc w:val="right"/>
          </w:pPr>
          <w:r>
            <w:rPr>
              <w:noProof/>
            </w:rPr>
            <w:drawing>
              <wp:inline distT="0" distB="0" distL="0" distR="0" wp14:anchorId="69180DD3" wp14:editId="5AD74113">
                <wp:extent cx="635093" cy="54864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ight.png"/>
                        <pic:cNvPicPr/>
                      </pic:nvPicPr>
                      <pic:blipFill>
                        <a:blip r:embed="rId2"/>
                        <a:stretch>
                          <a:fillRect/>
                        </a:stretch>
                      </pic:blipFill>
                      <pic:spPr>
                        <a:xfrm>
                          <a:off x="0" y="0"/>
                          <a:ext cx="635093" cy="548640"/>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2216090"/>
    <w:multiLevelType w:val="hybridMultilevel"/>
    <w:tmpl w:val="BBAADDB4"/>
    <w:lvl w:ilvl="0" w:tplc="D804A948">
      <w:numFmt w:val="bullet"/>
      <w:lvlText w:val="•"/>
      <w:lvlJc w:val="left"/>
      <w:pPr>
        <w:ind w:left="792" w:hanging="360"/>
      </w:pPr>
      <w:rPr>
        <w:rFonts w:hint="default" w:ascii="Arial" w:hAnsi="Arial" w:cs="Arial" w:eastAsiaTheme="minorEastAsia"/>
      </w:rPr>
    </w:lvl>
    <w:lvl w:ilvl="1" w:tplc="240A0003" w:tentative="1">
      <w:start w:val="1"/>
      <w:numFmt w:val="bullet"/>
      <w:lvlText w:val="o"/>
      <w:lvlJc w:val="left"/>
      <w:pPr>
        <w:ind w:left="1512" w:hanging="360"/>
      </w:pPr>
      <w:rPr>
        <w:rFonts w:hint="default" w:ascii="Courier New" w:hAnsi="Courier New" w:cs="Courier New"/>
      </w:rPr>
    </w:lvl>
    <w:lvl w:ilvl="2" w:tplc="240A0005" w:tentative="1">
      <w:start w:val="1"/>
      <w:numFmt w:val="bullet"/>
      <w:lvlText w:val=""/>
      <w:lvlJc w:val="left"/>
      <w:pPr>
        <w:ind w:left="2232" w:hanging="360"/>
      </w:pPr>
      <w:rPr>
        <w:rFonts w:hint="default" w:ascii="Wingdings" w:hAnsi="Wingdings"/>
      </w:rPr>
    </w:lvl>
    <w:lvl w:ilvl="3" w:tplc="240A0001" w:tentative="1">
      <w:start w:val="1"/>
      <w:numFmt w:val="bullet"/>
      <w:lvlText w:val=""/>
      <w:lvlJc w:val="left"/>
      <w:pPr>
        <w:ind w:left="2952" w:hanging="360"/>
      </w:pPr>
      <w:rPr>
        <w:rFonts w:hint="default" w:ascii="Symbol" w:hAnsi="Symbol"/>
      </w:rPr>
    </w:lvl>
    <w:lvl w:ilvl="4" w:tplc="240A0003" w:tentative="1">
      <w:start w:val="1"/>
      <w:numFmt w:val="bullet"/>
      <w:lvlText w:val="o"/>
      <w:lvlJc w:val="left"/>
      <w:pPr>
        <w:ind w:left="3672" w:hanging="360"/>
      </w:pPr>
      <w:rPr>
        <w:rFonts w:hint="default" w:ascii="Courier New" w:hAnsi="Courier New" w:cs="Courier New"/>
      </w:rPr>
    </w:lvl>
    <w:lvl w:ilvl="5" w:tplc="240A0005" w:tentative="1">
      <w:start w:val="1"/>
      <w:numFmt w:val="bullet"/>
      <w:lvlText w:val=""/>
      <w:lvlJc w:val="left"/>
      <w:pPr>
        <w:ind w:left="4392" w:hanging="360"/>
      </w:pPr>
      <w:rPr>
        <w:rFonts w:hint="default" w:ascii="Wingdings" w:hAnsi="Wingdings"/>
      </w:rPr>
    </w:lvl>
    <w:lvl w:ilvl="6" w:tplc="240A0001" w:tentative="1">
      <w:start w:val="1"/>
      <w:numFmt w:val="bullet"/>
      <w:lvlText w:val=""/>
      <w:lvlJc w:val="left"/>
      <w:pPr>
        <w:ind w:left="5112" w:hanging="360"/>
      </w:pPr>
      <w:rPr>
        <w:rFonts w:hint="default" w:ascii="Symbol" w:hAnsi="Symbol"/>
      </w:rPr>
    </w:lvl>
    <w:lvl w:ilvl="7" w:tplc="240A0003" w:tentative="1">
      <w:start w:val="1"/>
      <w:numFmt w:val="bullet"/>
      <w:lvlText w:val="o"/>
      <w:lvlJc w:val="left"/>
      <w:pPr>
        <w:ind w:left="5832" w:hanging="360"/>
      </w:pPr>
      <w:rPr>
        <w:rFonts w:hint="default" w:ascii="Courier New" w:hAnsi="Courier New" w:cs="Courier New"/>
      </w:rPr>
    </w:lvl>
    <w:lvl w:ilvl="8" w:tplc="240A0005" w:tentative="1">
      <w:start w:val="1"/>
      <w:numFmt w:val="bullet"/>
      <w:lvlText w:val=""/>
      <w:lvlJc w:val="left"/>
      <w:pPr>
        <w:ind w:left="6552" w:hanging="360"/>
      </w:pPr>
      <w:rPr>
        <w:rFonts w:hint="default" w:ascii="Wingdings" w:hAnsi="Wingdings"/>
      </w:rPr>
    </w:lvl>
  </w:abstractNum>
  <w:abstractNum w:abstractNumId="10" w15:restartNumberingAfterBreak="0">
    <w:nsid w:val="08BE0081"/>
    <w:multiLevelType w:val="multilevel"/>
    <w:tmpl w:val="10CCD9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E9D364E"/>
    <w:multiLevelType w:val="hybridMultilevel"/>
    <w:tmpl w:val="24B82CF2"/>
    <w:lvl w:ilvl="0" w:tplc="240A0001">
      <w:start w:val="1"/>
      <w:numFmt w:val="bullet"/>
      <w:lvlText w:val=""/>
      <w:lvlJc w:val="left"/>
      <w:pPr>
        <w:ind w:left="360" w:hanging="360"/>
      </w:pPr>
      <w:rPr>
        <w:rFonts w:hint="default" w:ascii="Symbol" w:hAnsi="Symbol"/>
      </w:rPr>
    </w:lvl>
    <w:lvl w:ilvl="1" w:tplc="240A0003" w:tentative="1">
      <w:start w:val="1"/>
      <w:numFmt w:val="bullet"/>
      <w:lvlText w:val="o"/>
      <w:lvlJc w:val="left"/>
      <w:pPr>
        <w:ind w:left="1080" w:hanging="360"/>
      </w:pPr>
      <w:rPr>
        <w:rFonts w:hint="default" w:ascii="Courier New" w:hAnsi="Courier New" w:cs="Courier New"/>
      </w:rPr>
    </w:lvl>
    <w:lvl w:ilvl="2" w:tplc="240A0005" w:tentative="1">
      <w:start w:val="1"/>
      <w:numFmt w:val="bullet"/>
      <w:lvlText w:val=""/>
      <w:lvlJc w:val="left"/>
      <w:pPr>
        <w:ind w:left="1800" w:hanging="360"/>
      </w:pPr>
      <w:rPr>
        <w:rFonts w:hint="default" w:ascii="Wingdings" w:hAnsi="Wingdings"/>
      </w:rPr>
    </w:lvl>
    <w:lvl w:ilvl="3" w:tplc="240A0001" w:tentative="1">
      <w:start w:val="1"/>
      <w:numFmt w:val="bullet"/>
      <w:lvlText w:val=""/>
      <w:lvlJc w:val="left"/>
      <w:pPr>
        <w:ind w:left="2520" w:hanging="360"/>
      </w:pPr>
      <w:rPr>
        <w:rFonts w:hint="default" w:ascii="Symbol" w:hAnsi="Symbol"/>
      </w:rPr>
    </w:lvl>
    <w:lvl w:ilvl="4" w:tplc="240A0003" w:tentative="1">
      <w:start w:val="1"/>
      <w:numFmt w:val="bullet"/>
      <w:lvlText w:val="o"/>
      <w:lvlJc w:val="left"/>
      <w:pPr>
        <w:ind w:left="3240" w:hanging="360"/>
      </w:pPr>
      <w:rPr>
        <w:rFonts w:hint="default" w:ascii="Courier New" w:hAnsi="Courier New" w:cs="Courier New"/>
      </w:rPr>
    </w:lvl>
    <w:lvl w:ilvl="5" w:tplc="240A0005" w:tentative="1">
      <w:start w:val="1"/>
      <w:numFmt w:val="bullet"/>
      <w:lvlText w:val=""/>
      <w:lvlJc w:val="left"/>
      <w:pPr>
        <w:ind w:left="3960" w:hanging="360"/>
      </w:pPr>
      <w:rPr>
        <w:rFonts w:hint="default" w:ascii="Wingdings" w:hAnsi="Wingdings"/>
      </w:rPr>
    </w:lvl>
    <w:lvl w:ilvl="6" w:tplc="240A0001" w:tentative="1">
      <w:start w:val="1"/>
      <w:numFmt w:val="bullet"/>
      <w:lvlText w:val=""/>
      <w:lvlJc w:val="left"/>
      <w:pPr>
        <w:ind w:left="4680" w:hanging="360"/>
      </w:pPr>
      <w:rPr>
        <w:rFonts w:hint="default" w:ascii="Symbol" w:hAnsi="Symbol"/>
      </w:rPr>
    </w:lvl>
    <w:lvl w:ilvl="7" w:tplc="240A0003" w:tentative="1">
      <w:start w:val="1"/>
      <w:numFmt w:val="bullet"/>
      <w:lvlText w:val="o"/>
      <w:lvlJc w:val="left"/>
      <w:pPr>
        <w:ind w:left="5400" w:hanging="360"/>
      </w:pPr>
      <w:rPr>
        <w:rFonts w:hint="default" w:ascii="Courier New" w:hAnsi="Courier New" w:cs="Courier New"/>
      </w:rPr>
    </w:lvl>
    <w:lvl w:ilvl="8" w:tplc="240A0005" w:tentative="1">
      <w:start w:val="1"/>
      <w:numFmt w:val="bullet"/>
      <w:lvlText w:val=""/>
      <w:lvlJc w:val="left"/>
      <w:pPr>
        <w:ind w:left="6120" w:hanging="360"/>
      </w:pPr>
      <w:rPr>
        <w:rFonts w:hint="default" w:ascii="Wingdings" w:hAnsi="Wingdings"/>
      </w:rPr>
    </w:lvl>
  </w:abstractNum>
  <w:abstractNum w:abstractNumId="12" w15:restartNumberingAfterBreak="0">
    <w:nsid w:val="33032C67"/>
    <w:multiLevelType w:val="multilevel"/>
    <w:tmpl w:val="6FC2BF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C99556D"/>
    <w:multiLevelType w:val="multilevel"/>
    <w:tmpl w:val="0054DE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4C417FB"/>
    <w:multiLevelType w:val="multilevel"/>
    <w:tmpl w:val="5F62C3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57F38DC"/>
    <w:multiLevelType w:val="multilevel"/>
    <w:tmpl w:val="F87684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98D3350"/>
    <w:multiLevelType w:val="multilevel"/>
    <w:tmpl w:val="952E72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77A067D"/>
    <w:multiLevelType w:val="hybridMultilevel"/>
    <w:tmpl w:val="45D8E022"/>
    <w:lvl w:ilvl="0" w:tplc="240A0001">
      <w:start w:val="1"/>
      <w:numFmt w:val="bullet"/>
      <w:lvlText w:val=""/>
      <w:lvlJc w:val="left"/>
      <w:pPr>
        <w:ind w:left="1152" w:hanging="360"/>
      </w:pPr>
      <w:rPr>
        <w:rFonts w:hint="default" w:ascii="Symbol" w:hAnsi="Symbol"/>
      </w:rPr>
    </w:lvl>
    <w:lvl w:ilvl="1" w:tplc="240A0003" w:tentative="1">
      <w:start w:val="1"/>
      <w:numFmt w:val="bullet"/>
      <w:lvlText w:val="o"/>
      <w:lvlJc w:val="left"/>
      <w:pPr>
        <w:ind w:left="1872" w:hanging="360"/>
      </w:pPr>
      <w:rPr>
        <w:rFonts w:hint="default" w:ascii="Courier New" w:hAnsi="Courier New" w:cs="Courier New"/>
      </w:rPr>
    </w:lvl>
    <w:lvl w:ilvl="2" w:tplc="240A0005" w:tentative="1">
      <w:start w:val="1"/>
      <w:numFmt w:val="bullet"/>
      <w:lvlText w:val=""/>
      <w:lvlJc w:val="left"/>
      <w:pPr>
        <w:ind w:left="2592" w:hanging="360"/>
      </w:pPr>
      <w:rPr>
        <w:rFonts w:hint="default" w:ascii="Wingdings" w:hAnsi="Wingdings"/>
      </w:rPr>
    </w:lvl>
    <w:lvl w:ilvl="3" w:tplc="240A0001" w:tentative="1">
      <w:start w:val="1"/>
      <w:numFmt w:val="bullet"/>
      <w:lvlText w:val=""/>
      <w:lvlJc w:val="left"/>
      <w:pPr>
        <w:ind w:left="3312" w:hanging="360"/>
      </w:pPr>
      <w:rPr>
        <w:rFonts w:hint="default" w:ascii="Symbol" w:hAnsi="Symbol"/>
      </w:rPr>
    </w:lvl>
    <w:lvl w:ilvl="4" w:tplc="240A0003" w:tentative="1">
      <w:start w:val="1"/>
      <w:numFmt w:val="bullet"/>
      <w:lvlText w:val="o"/>
      <w:lvlJc w:val="left"/>
      <w:pPr>
        <w:ind w:left="4032" w:hanging="360"/>
      </w:pPr>
      <w:rPr>
        <w:rFonts w:hint="default" w:ascii="Courier New" w:hAnsi="Courier New" w:cs="Courier New"/>
      </w:rPr>
    </w:lvl>
    <w:lvl w:ilvl="5" w:tplc="240A0005" w:tentative="1">
      <w:start w:val="1"/>
      <w:numFmt w:val="bullet"/>
      <w:lvlText w:val=""/>
      <w:lvlJc w:val="left"/>
      <w:pPr>
        <w:ind w:left="4752" w:hanging="360"/>
      </w:pPr>
      <w:rPr>
        <w:rFonts w:hint="default" w:ascii="Wingdings" w:hAnsi="Wingdings"/>
      </w:rPr>
    </w:lvl>
    <w:lvl w:ilvl="6" w:tplc="240A0001" w:tentative="1">
      <w:start w:val="1"/>
      <w:numFmt w:val="bullet"/>
      <w:lvlText w:val=""/>
      <w:lvlJc w:val="left"/>
      <w:pPr>
        <w:ind w:left="5472" w:hanging="360"/>
      </w:pPr>
      <w:rPr>
        <w:rFonts w:hint="default" w:ascii="Symbol" w:hAnsi="Symbol"/>
      </w:rPr>
    </w:lvl>
    <w:lvl w:ilvl="7" w:tplc="240A0003" w:tentative="1">
      <w:start w:val="1"/>
      <w:numFmt w:val="bullet"/>
      <w:lvlText w:val="o"/>
      <w:lvlJc w:val="left"/>
      <w:pPr>
        <w:ind w:left="6192" w:hanging="360"/>
      </w:pPr>
      <w:rPr>
        <w:rFonts w:hint="default" w:ascii="Courier New" w:hAnsi="Courier New" w:cs="Courier New"/>
      </w:rPr>
    </w:lvl>
    <w:lvl w:ilvl="8" w:tplc="240A0005" w:tentative="1">
      <w:start w:val="1"/>
      <w:numFmt w:val="bullet"/>
      <w:lvlText w:val=""/>
      <w:lvlJc w:val="left"/>
      <w:pPr>
        <w:ind w:left="6912" w:hanging="360"/>
      </w:pPr>
      <w:rPr>
        <w:rFonts w:hint="default" w:ascii="Wingdings" w:hAnsi="Wingdings"/>
      </w:rPr>
    </w:lvl>
  </w:abstractNum>
  <w:abstractNum w:abstractNumId="18" w15:restartNumberingAfterBreak="0">
    <w:nsid w:val="6CA702B8"/>
    <w:multiLevelType w:val="multilevel"/>
    <w:tmpl w:val="F4CA9E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12664171">
    <w:abstractNumId w:val="8"/>
  </w:num>
  <w:num w:numId="2" w16cid:durableId="496114200">
    <w:abstractNumId w:val="6"/>
  </w:num>
  <w:num w:numId="3" w16cid:durableId="1164274546">
    <w:abstractNumId w:val="5"/>
  </w:num>
  <w:num w:numId="4" w16cid:durableId="1457456102">
    <w:abstractNumId w:val="4"/>
  </w:num>
  <w:num w:numId="5" w16cid:durableId="1487896263">
    <w:abstractNumId w:val="7"/>
  </w:num>
  <w:num w:numId="6" w16cid:durableId="133716791">
    <w:abstractNumId w:val="3"/>
  </w:num>
  <w:num w:numId="7" w16cid:durableId="1662585063">
    <w:abstractNumId w:val="2"/>
  </w:num>
  <w:num w:numId="8" w16cid:durableId="682364049">
    <w:abstractNumId w:val="1"/>
  </w:num>
  <w:num w:numId="9" w16cid:durableId="1942106317">
    <w:abstractNumId w:val="0"/>
  </w:num>
  <w:num w:numId="10" w16cid:durableId="658729415">
    <w:abstractNumId w:val="11"/>
  </w:num>
  <w:num w:numId="11" w16cid:durableId="182283316">
    <w:abstractNumId w:val="15"/>
  </w:num>
  <w:num w:numId="12" w16cid:durableId="784269436">
    <w:abstractNumId w:val="18"/>
  </w:num>
  <w:num w:numId="13" w16cid:durableId="526257728">
    <w:abstractNumId w:val="12"/>
  </w:num>
  <w:num w:numId="14" w16cid:durableId="1513030962">
    <w:abstractNumId w:val="16"/>
  </w:num>
  <w:num w:numId="15" w16cid:durableId="1816532496">
    <w:abstractNumId w:val="17"/>
  </w:num>
  <w:num w:numId="16" w16cid:durableId="652295876">
    <w:abstractNumId w:val="9"/>
  </w:num>
  <w:num w:numId="17" w16cid:durableId="53700631">
    <w:abstractNumId w:val="10"/>
  </w:num>
  <w:num w:numId="18" w16cid:durableId="1904100441">
    <w:abstractNumId w:val="13"/>
  </w:num>
  <w:num w:numId="19" w16cid:durableId="18884877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1BF4"/>
    <w:rsid w:val="00034616"/>
    <w:rsid w:val="0005412A"/>
    <w:rsid w:val="0006063C"/>
    <w:rsid w:val="0008170D"/>
    <w:rsid w:val="000C517B"/>
    <w:rsid w:val="000F4759"/>
    <w:rsid w:val="001309BC"/>
    <w:rsid w:val="00137D2A"/>
    <w:rsid w:val="0015074B"/>
    <w:rsid w:val="00167E02"/>
    <w:rsid w:val="001824D4"/>
    <w:rsid w:val="00183278"/>
    <w:rsid w:val="00191D6C"/>
    <w:rsid w:val="001974B9"/>
    <w:rsid w:val="001A3CEC"/>
    <w:rsid w:val="001B5FBB"/>
    <w:rsid w:val="001C1342"/>
    <w:rsid w:val="001D6DD8"/>
    <w:rsid w:val="00202D48"/>
    <w:rsid w:val="002155D0"/>
    <w:rsid w:val="002710CA"/>
    <w:rsid w:val="00280EEE"/>
    <w:rsid w:val="0029639D"/>
    <w:rsid w:val="002B22E2"/>
    <w:rsid w:val="002C0D72"/>
    <w:rsid w:val="002E0C84"/>
    <w:rsid w:val="002E3FA8"/>
    <w:rsid w:val="0030087F"/>
    <w:rsid w:val="003209D4"/>
    <w:rsid w:val="00326F90"/>
    <w:rsid w:val="003275E9"/>
    <w:rsid w:val="00390148"/>
    <w:rsid w:val="003B3DE0"/>
    <w:rsid w:val="003D6575"/>
    <w:rsid w:val="003D68F7"/>
    <w:rsid w:val="004739A8"/>
    <w:rsid w:val="004C22D0"/>
    <w:rsid w:val="004F2261"/>
    <w:rsid w:val="00542CB1"/>
    <w:rsid w:val="00545AB0"/>
    <w:rsid w:val="00553A87"/>
    <w:rsid w:val="00562BAE"/>
    <w:rsid w:val="00566BEF"/>
    <w:rsid w:val="005958D4"/>
    <w:rsid w:val="005A6701"/>
    <w:rsid w:val="005D642B"/>
    <w:rsid w:val="005F28D9"/>
    <w:rsid w:val="00612235"/>
    <w:rsid w:val="006B5D8C"/>
    <w:rsid w:val="006D1556"/>
    <w:rsid w:val="006F78CB"/>
    <w:rsid w:val="00727C13"/>
    <w:rsid w:val="007E13E5"/>
    <w:rsid w:val="00815A96"/>
    <w:rsid w:val="00846AFF"/>
    <w:rsid w:val="00887EA8"/>
    <w:rsid w:val="008922E6"/>
    <w:rsid w:val="0089538B"/>
    <w:rsid w:val="008A295E"/>
    <w:rsid w:val="008D0813"/>
    <w:rsid w:val="00953EC3"/>
    <w:rsid w:val="00972F7B"/>
    <w:rsid w:val="009B07D7"/>
    <w:rsid w:val="009E589B"/>
    <w:rsid w:val="009E656B"/>
    <w:rsid w:val="00A02885"/>
    <w:rsid w:val="00A128BE"/>
    <w:rsid w:val="00A23CF8"/>
    <w:rsid w:val="00A71FAF"/>
    <w:rsid w:val="00A975E2"/>
    <w:rsid w:val="00AA1D8D"/>
    <w:rsid w:val="00AB09B4"/>
    <w:rsid w:val="00AB515C"/>
    <w:rsid w:val="00AE4362"/>
    <w:rsid w:val="00AE7D99"/>
    <w:rsid w:val="00AF614D"/>
    <w:rsid w:val="00AF7BDB"/>
    <w:rsid w:val="00B022BD"/>
    <w:rsid w:val="00B221FA"/>
    <w:rsid w:val="00B26A67"/>
    <w:rsid w:val="00B3507D"/>
    <w:rsid w:val="00B47730"/>
    <w:rsid w:val="00B51518"/>
    <w:rsid w:val="00B702D6"/>
    <w:rsid w:val="00BD1274"/>
    <w:rsid w:val="00BD1DC4"/>
    <w:rsid w:val="00BD6231"/>
    <w:rsid w:val="00C32D5F"/>
    <w:rsid w:val="00C96243"/>
    <w:rsid w:val="00CB0664"/>
    <w:rsid w:val="00CC3484"/>
    <w:rsid w:val="00CD5680"/>
    <w:rsid w:val="00D3394E"/>
    <w:rsid w:val="00D65AA6"/>
    <w:rsid w:val="00D7067B"/>
    <w:rsid w:val="00D70C00"/>
    <w:rsid w:val="00D71EC5"/>
    <w:rsid w:val="00DA7271"/>
    <w:rsid w:val="00DE78ED"/>
    <w:rsid w:val="00DF576E"/>
    <w:rsid w:val="00E56BBA"/>
    <w:rsid w:val="00E915E1"/>
    <w:rsid w:val="00F001D1"/>
    <w:rsid w:val="00F051B0"/>
    <w:rsid w:val="00F101E1"/>
    <w:rsid w:val="00F243BD"/>
    <w:rsid w:val="00F35717"/>
    <w:rsid w:val="00F52C5B"/>
    <w:rsid w:val="00F730F6"/>
    <w:rsid w:val="00FC693F"/>
    <w:rsid w:val="00FF1ED7"/>
    <w:rsid w:val="0C60CD46"/>
    <w:rsid w:val="10C93EC1"/>
    <w:rsid w:val="2C244A45"/>
    <w:rsid w:val="4358E2AD"/>
    <w:rsid w:val="4AE9F9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056780"/>
  <w14:defaultImageDpi w14:val="300"/>
  <w15:docId w15:val="{5E561B6C-E333-4F6A-9DA7-78A3AA3FB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7C13"/>
    <w:pPr>
      <w:spacing w:after="120"/>
      <w:jc w:val="both"/>
    </w:pPr>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37D2A"/>
    <w:rPr>
      <w:color w:val="0000FF" w:themeColor="hyperlink"/>
      <w:u w:val="single"/>
    </w:rPr>
  </w:style>
  <w:style w:type="table" w:styleId="TableNormal1" w:customStyle="1">
    <w:name w:val="Table Normal1"/>
    <w:uiPriority w:val="2"/>
    <w:semiHidden/>
    <w:unhideWhenUsed/>
    <w:qFormat/>
    <w:rsid w:val="00846AFF"/>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styleId="TableParagraph" w:customStyle="1">
    <w:name w:val="Table Paragraph"/>
    <w:basedOn w:val="Normal"/>
    <w:uiPriority w:val="1"/>
    <w:qFormat/>
    <w:rsid w:val="00846AFF"/>
    <w:pPr>
      <w:widowControl w:val="0"/>
      <w:autoSpaceDE w:val="0"/>
      <w:autoSpaceDN w:val="0"/>
      <w:spacing w:before="23" w:after="0" w:line="240" w:lineRule="auto"/>
      <w:ind w:left="69"/>
      <w:jc w:val="left"/>
    </w:pPr>
    <w:rPr>
      <w:rFonts w:ascii="Calibri" w:hAnsi="Calibri" w:eastAsia="Calibri" w:cs="Calibri"/>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yperlink" Target="https://prestadores.minsalud.gov.co/siho/-" TargetMode="External" Id="rId8" /><Relationship Type="http://schemas.openxmlformats.org/officeDocument/2006/relationships/image" Target="media/image2.png" Id="rId13" /><Relationship Type="http://schemas.openxmlformats.org/officeDocument/2006/relationships/image" Target="media/image7.png" Id="rId18" /><Relationship Type="http://schemas.openxmlformats.org/officeDocument/2006/relationships/fontTable" Target="fontTable.xml" Id="rId26" /><Relationship Type="http://schemas.openxmlformats.org/officeDocument/2006/relationships/styles" Target="styles.xml" Id="rId3" /><Relationship Type="http://schemas.openxmlformats.org/officeDocument/2006/relationships/image" Target="media/image10.png" Id="rId21" /><Relationship Type="http://schemas.openxmlformats.org/officeDocument/2006/relationships/endnotes" Target="endnotes.xml" Id="rId7" /><Relationship Type="http://schemas.openxmlformats.org/officeDocument/2006/relationships/image" Target="media/image1.png" Id="rId12" /><Relationship Type="http://schemas.openxmlformats.org/officeDocument/2006/relationships/image" Target="media/image6.png" Id="rId17" /><Relationship Type="http://schemas.openxmlformats.org/officeDocument/2006/relationships/footer" Target="footer1.xml" Id="rId25" /><Relationship Type="http://schemas.openxmlformats.org/officeDocument/2006/relationships/numbering" Target="numbering.xml" Id="rId2" /><Relationship Type="http://schemas.openxmlformats.org/officeDocument/2006/relationships/image" Target="media/image5.png" Id="rId16" /><Relationship Type="http://schemas.openxmlformats.org/officeDocument/2006/relationships/image" Target="media/image9.png"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prestadores.minsalud.gov.co/siho/-" TargetMode="External" Id="rId11" /><Relationship Type="http://schemas.openxmlformats.org/officeDocument/2006/relationships/header" Target="header1.xml" Id="rId24" /><Relationship Type="http://schemas.openxmlformats.org/officeDocument/2006/relationships/webSettings" Target="webSettings.xml" Id="rId5" /><Relationship Type="http://schemas.openxmlformats.org/officeDocument/2006/relationships/image" Target="media/image4.png" Id="rId15" /><Relationship Type="http://schemas.openxmlformats.org/officeDocument/2006/relationships/image" Target="media/image12.jpeg" Id="rId23" /><Relationship Type="http://schemas.openxmlformats.org/officeDocument/2006/relationships/hyperlink" Target="https://prestadores.minsalud.gov.co/siho/-" TargetMode="External" Id="rId10" /><Relationship Type="http://schemas.openxmlformats.org/officeDocument/2006/relationships/image" Target="media/image8.png" Id="rId19" /><Relationship Type="http://schemas.openxmlformats.org/officeDocument/2006/relationships/settings" Target="settings.xml" Id="rId4" /><Relationship Type="http://schemas.openxmlformats.org/officeDocument/2006/relationships/hyperlink" Target="https://prestadores.minsalud.gov.co/siho/-" TargetMode="External" Id="rId9" /><Relationship Type="http://schemas.openxmlformats.org/officeDocument/2006/relationships/image" Target="media/image3.png" Id="rId14" /><Relationship Type="http://schemas.openxmlformats.org/officeDocument/2006/relationships/image" Target="media/image11.jpeg" Id="rId22" /><Relationship Type="http://schemas.openxmlformats.org/officeDocument/2006/relationships/theme" Target="theme/theme1.xml" Id="rId27" /></Relationships>
</file>

<file path=word/_rels/head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7B61A-44FD-435A-919D-1C40BDFF3E6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Líder de atención al usuario Red de Salud del Centro E.S.E</lastModifiedBy>
  <revision>6</revision>
  <dcterms:created xsi:type="dcterms:W3CDTF">2026-07-24T17:16:00.0000000Z</dcterms:created>
  <dcterms:modified xsi:type="dcterms:W3CDTF">2026-07-24T17:58:26.0229400Z</dcterms:modified>
  <category/>
</coreProperties>
</file>